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CE9C3F">
      <w:pPr>
        <w:keepNext w:val="0"/>
        <w:keepLines w:val="0"/>
        <w:pageBreakBefore w:val="0"/>
        <w:widowControl/>
        <w:kinsoku/>
        <w:wordWrap/>
        <w:overflowPunct w:val="0"/>
        <w:topLinePunct w:val="0"/>
        <w:autoSpaceDE w:val="0"/>
        <w:autoSpaceDN w:val="0"/>
        <w:bidi w:val="0"/>
        <w:adjustRightInd w:val="0"/>
        <w:snapToGrid w:val="0"/>
        <w:spacing w:before="0" w:line="660" w:lineRule="exact"/>
        <w:ind w:left="0" w:right="0" w:firstLine="0"/>
        <w:jc w:val="center"/>
        <w:textAlignment w:val="baseline"/>
        <w:rPr>
          <w:rFonts w:hint="eastAsia" w:ascii="方正小标宋简体" w:hAnsi="方正小标宋简体" w:eastAsia="方正小标宋简体" w:cs="方正小标宋简体"/>
          <w:b w:val="0"/>
          <w:bCs w:val="0"/>
          <w:spacing w:val="18"/>
          <w:sz w:val="44"/>
          <w:szCs w:val="44"/>
          <w:highlight w:val="none"/>
          <w:lang w:val="en-US" w:eastAsia="zh-CN"/>
        </w:rPr>
      </w:pPr>
      <w:bookmarkStart w:id="73" w:name="_GoBack"/>
      <w:bookmarkEnd w:id="73"/>
    </w:p>
    <w:p w14:paraId="6B685E54">
      <w:pPr>
        <w:pStyle w:val="12"/>
        <w:widowControl/>
        <w:spacing w:line="240" w:lineRule="auto"/>
        <w:rPr>
          <w:b w:val="0"/>
          <w:highlight w:val="none"/>
        </w:rPr>
      </w:pPr>
      <w:r>
        <w:drawing>
          <wp:inline distT="0" distB="0" distL="0" distR="0">
            <wp:extent cx="4618990" cy="1649095"/>
            <wp:effectExtent l="0" t="0" r="10160" b="825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4" cstate="print"/>
                    <a:stretch>
                      <a:fillRect/>
                    </a:stretch>
                  </pic:blipFill>
                  <pic:spPr>
                    <a:xfrm>
                      <a:off x="0" y="0"/>
                      <a:ext cx="4618990" cy="1649095"/>
                    </a:xfrm>
                    <a:prstGeom prst="rect">
                      <a:avLst/>
                    </a:prstGeom>
                  </pic:spPr>
                </pic:pic>
              </a:graphicData>
            </a:graphic>
          </wp:inline>
        </w:drawing>
      </w:r>
    </w:p>
    <w:p w14:paraId="3C26ED7C">
      <w:pPr>
        <w:keepNext w:val="0"/>
        <w:keepLines w:val="0"/>
        <w:pageBreakBefore w:val="0"/>
        <w:widowControl/>
        <w:kinsoku/>
        <w:wordWrap/>
        <w:overflowPunct w:val="0"/>
        <w:topLinePunct w:val="0"/>
        <w:autoSpaceDE w:val="0"/>
        <w:autoSpaceDN w:val="0"/>
        <w:bidi w:val="0"/>
        <w:adjustRightInd w:val="0"/>
        <w:snapToGrid w:val="0"/>
        <w:spacing w:before="0" w:line="660" w:lineRule="exact"/>
        <w:ind w:left="0" w:right="0" w:firstLine="0"/>
        <w:jc w:val="both"/>
        <w:textAlignment w:val="baseline"/>
        <w:rPr>
          <w:rFonts w:hint="eastAsia" w:ascii="方正小标宋简体" w:hAnsi="方正小标宋简体" w:eastAsia="方正小标宋简体" w:cs="方正小标宋简体"/>
          <w:b w:val="0"/>
          <w:bCs w:val="0"/>
          <w:spacing w:val="18"/>
          <w:sz w:val="44"/>
          <w:szCs w:val="44"/>
          <w:highlight w:val="none"/>
          <w:lang w:val="en-US" w:eastAsia="zh-CN"/>
        </w:rPr>
      </w:pPr>
    </w:p>
    <w:p w14:paraId="5B2F2357">
      <w:pPr>
        <w:keepNext w:val="0"/>
        <w:keepLines w:val="0"/>
        <w:pageBreakBefore w:val="0"/>
        <w:widowControl/>
        <w:kinsoku/>
        <w:wordWrap/>
        <w:overflowPunct w:val="0"/>
        <w:topLinePunct w:val="0"/>
        <w:autoSpaceDE w:val="0"/>
        <w:autoSpaceDN w:val="0"/>
        <w:bidi w:val="0"/>
        <w:adjustRightInd w:val="0"/>
        <w:snapToGrid w:val="0"/>
        <w:spacing w:before="0" w:line="660" w:lineRule="exact"/>
        <w:ind w:left="0" w:right="0" w:firstLine="0"/>
        <w:jc w:val="center"/>
        <w:textAlignment w:val="baseline"/>
        <w:rPr>
          <w:rFonts w:hint="eastAsia" w:ascii="方正小标宋简体" w:hAnsi="方正小标宋简体" w:eastAsia="方正小标宋简体" w:cs="方正小标宋简体"/>
          <w:b w:val="0"/>
          <w:bCs w:val="0"/>
          <w:spacing w:val="18"/>
          <w:sz w:val="44"/>
          <w:szCs w:val="44"/>
          <w:highlight w:val="none"/>
          <w:lang w:val="en-US" w:eastAsia="zh-CN"/>
        </w:rPr>
      </w:pPr>
    </w:p>
    <w:p w14:paraId="44D8393D">
      <w:pPr>
        <w:pStyle w:val="19"/>
        <w:widowControl/>
        <w:rPr>
          <w:sz w:val="52"/>
          <w:szCs w:val="52"/>
          <w:highlight w:val="none"/>
        </w:rPr>
      </w:pPr>
      <mc:AlternateContent>
        <mc:Choice Requires="wpsCustomData">
          <wpsCustomData:docfieldStart id="0" docfieldname="标题_1" hidden="0" print="1" readonly="0" index="5"/>
        </mc:Choice>
      </mc:AlternateContent>
      <w:r>
        <w:rPr>
          <w:sz w:val="52"/>
          <w:szCs w:val="52"/>
          <w:highlight w:val="none"/>
        </w:rPr>
        <w:t>桂平市艺术学校</w:t>
      </w:r>
      <w:r>
        <w:rPr>
          <w:sz w:val="52"/>
          <w:szCs w:val="52"/>
          <w:highlight w:val="none"/>
        </w:rPr>
        <w:br w:type="textWrapping"/>
      </w:r>
      <w:r>
        <w:rPr>
          <w:sz w:val="52"/>
          <w:szCs w:val="52"/>
          <w:highlight w:val="none"/>
        </w:rPr>
        <w:t>中等职业教育质量年度报告</w:t>
      </w:r>
      <mc:AlternateContent>
        <mc:Choice Requires="wpsCustomData">
          <wpsCustomData:docfieldEnd id="0"/>
        </mc:Choice>
      </mc:AlternateContent>
    </w:p>
    <w:p w14:paraId="4E552B52">
      <w:pPr>
        <w:pStyle w:val="12"/>
        <w:bidi w:val="0"/>
        <w:spacing w:beforeAutospacing="0" w:afterAutospacing="0" w:line="300" w:lineRule="exact"/>
      </w:pPr>
    </w:p>
    <w:p w14:paraId="391FF4BB">
      <w:pPr>
        <w:pStyle w:val="16"/>
        <w:widowControl/>
        <w:rPr>
          <w:sz w:val="44"/>
          <w:szCs w:val="44"/>
          <w:highlight w:val="none"/>
        </w:rPr>
      </w:pPr>
      <w:r>
        <w:rPr>
          <w:sz w:val="44"/>
          <w:szCs w:val="44"/>
          <w:highlight w:val="none"/>
        </w:rPr>
        <w:t>（2025年度）</w:t>
      </w:r>
    </w:p>
    <w:p w14:paraId="382ADC04">
      <w:pPr>
        <w:pStyle w:val="16"/>
        <w:widowControl/>
        <w:rPr>
          <w:highlight w:val="none"/>
        </w:rPr>
      </w:pPr>
    </w:p>
    <w:p w14:paraId="52586618">
      <w:pPr>
        <w:pStyle w:val="24"/>
        <w:ind w:left="0" w:leftChars="0" w:firstLine="0" w:firstLineChars="0"/>
        <w:jc w:val="center"/>
        <w:rPr>
          <w:rFonts w:hint="eastAsia" w:ascii="方正小标宋简体" w:hAnsi="方正小标宋简体" w:eastAsia="方正小标宋简体" w:cs="方正小标宋简体"/>
          <w:b w:val="0"/>
          <w:bCs w:val="0"/>
          <w:spacing w:val="27"/>
          <w:sz w:val="40"/>
          <w:szCs w:val="40"/>
          <w:highlight w:val="none"/>
          <w:lang w:eastAsia="zh-CN"/>
        </w:rPr>
      </w:pPr>
      <w:r>
        <w:rPr>
          <w:rFonts w:hint="eastAsia" w:ascii="方正小标宋简体" w:hAnsi="方正小标宋简体" w:eastAsia="方正小标宋简体" w:cs="方正小标宋简体"/>
          <w:b w:val="0"/>
          <w:bCs w:val="0"/>
          <w:spacing w:val="27"/>
          <w:sz w:val="40"/>
          <w:szCs w:val="40"/>
          <w:highlight w:val="none"/>
          <w:lang w:val="en-US" w:eastAsia="zh-CN"/>
        </w:rPr>
        <w:t>二〇二五年十二月</w:t>
      </w:r>
    </w:p>
    <w:p w14:paraId="04D9DAC4">
      <w:pPr>
        <w:spacing w:before="37"/>
        <w:ind w:left="57" w:right="624" w:firstLine="0"/>
        <w:jc w:val="center"/>
        <w:rPr>
          <w:rFonts w:hint="eastAsia" w:ascii="宋体" w:eastAsia="宋体"/>
          <w:b/>
          <w:sz w:val="44"/>
        </w:rPr>
      </w:pPr>
    </w:p>
    <w:p w14:paraId="386F5492">
      <w:pPr>
        <w:pStyle w:val="19"/>
        <w:bidi w:val="0"/>
        <w:rPr>
          <w:rFonts w:hint="eastAsia" w:asciiTheme="majorEastAsia" w:hAnsiTheme="majorEastAsia" w:eastAsiaTheme="majorEastAsia" w:cstheme="majorEastAsia"/>
          <w:b/>
          <w:bCs/>
        </w:rPr>
      </w:pPr>
      <mc:AlternateContent>
        <mc:Choice Requires="wpsCustomData">
          <wpsCustomData:docfieldStart id="1" docfieldname="标题_2" hidden="0" print="1" readonly="0" index="4"/>
        </mc:Choice>
      </mc:AlternateContent>
    </w:p>
    <w:p w14:paraId="021074B4">
      <w:pPr>
        <w:pStyle w:val="19"/>
        <w:bidi w:val="0"/>
        <w:rPr>
          <w:rFonts w:hint="eastAsia" w:asciiTheme="majorEastAsia" w:hAnsiTheme="majorEastAsia" w:eastAsiaTheme="majorEastAsia" w:cstheme="majorEastAsia"/>
          <w:b/>
          <w:bCs/>
        </w:rPr>
      </w:pPr>
    </w:p>
    <w:p w14:paraId="42F37F07">
      <w:pPr>
        <w:pStyle w:val="19"/>
        <w:bidi w:val="0"/>
        <w:rPr>
          <w:rFonts w:hint="eastAsia" w:asciiTheme="majorEastAsia" w:hAnsiTheme="majorEastAsia" w:eastAsiaTheme="majorEastAsia" w:cstheme="majorEastAsia"/>
          <w:b/>
          <w:bCs/>
        </w:rPr>
      </w:pPr>
    </w:p>
    <w:p w14:paraId="50F0E144">
      <w:pPr>
        <w:pStyle w:val="19"/>
        <w:bidi w:val="0"/>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年报公开形式及网站</w:t>
      </w:r>
      <mc:AlternateContent>
        <mc:Choice Requires="wpsCustomData">
          <wpsCustomData:docfieldEnd id="1"/>
        </mc:Choice>
      </mc:AlternateContent>
    </w:p>
    <w:p w14:paraId="0C851BFF">
      <w:pPr>
        <w:pStyle w:val="12"/>
        <w:bidi w:val="0"/>
        <w:spacing w:beforeAutospacing="0" w:afterAutospacing="0" w:line="300" w:lineRule="exact"/>
      </w:pPr>
    </w:p>
    <w:p w14:paraId="72525512">
      <w:pPr>
        <w:pStyle w:val="12"/>
      </w:pPr>
      <w:r>
        <w:t>年报公开形式：在贵港市教育局学校网站和桂平市艺术学校网站公布。</w:t>
      </w:r>
    </w:p>
    <w:p w14:paraId="420097C8">
      <w:pPr>
        <w:pStyle w:val="12"/>
      </w:pPr>
      <w:r>
        <w:t>桂平市艺术学校中等职业教育质量年度报告（2025年度）公布网站</w:t>
      </w:r>
      <w:r>
        <w:rPr>
          <w:rFonts w:hint="eastAsia"/>
          <w:lang w:eastAsia="zh-CN"/>
        </w:rPr>
        <w:t>：</w:t>
      </w:r>
      <w:r>
        <w:t>贵港市教育局网站：http</w:t>
      </w:r>
      <w:r>
        <w:rPr>
          <w:rFonts w:hint="eastAsia"/>
          <w:lang w:val="en-US" w:eastAsia="zh-CN"/>
        </w:rPr>
        <w:t>://</w:t>
      </w:r>
      <w:r>
        <w:t>jyj.gxgg.gov.cn；桂平市艺术学校网站：http</w:t>
      </w:r>
      <w:r>
        <w:rPr>
          <w:rFonts w:hint="eastAsia"/>
          <w:lang w:val="en-US" w:eastAsia="zh-CN"/>
        </w:rPr>
        <w:t>://</w:t>
      </w:r>
      <w:r>
        <w:t>www.gparts.cn。</w:t>
      </w:r>
    </w:p>
    <w:p w14:paraId="503AFE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14:paraId="3016E330">
      <w:pPr>
        <w:pStyle w:val="12"/>
        <w:keepNext w:val="0"/>
        <w:keepLines w:val="0"/>
        <w:pageBreakBefore w:val="0"/>
        <w:widowControl w:val="0"/>
        <w:kinsoku/>
        <w:wordWrap/>
        <w:overflowPunct/>
        <w:topLinePunct w:val="0"/>
        <w:autoSpaceDE/>
        <w:autoSpaceDN/>
        <w:bidi w:val="0"/>
        <w:adjustRightInd/>
        <w:snapToGrid/>
        <w:spacing w:before="1" w:line="560" w:lineRule="exact"/>
        <w:ind w:left="126" w:right="693" w:firstLine="632" w:firstLineChars="200"/>
        <w:jc w:val="both"/>
        <w:textAlignment w:val="auto"/>
        <w:rPr>
          <w:rFonts w:hint="eastAsia" w:ascii="仿宋" w:hAnsi="仿宋" w:eastAsia="仿宋" w:cs="仿宋"/>
          <w:b w:val="0"/>
          <w:bCs/>
          <w:spacing w:val="-2"/>
          <w:sz w:val="32"/>
          <w:szCs w:val="32"/>
        </w:rPr>
      </w:pPr>
    </w:p>
    <w:p w14:paraId="2FE0B38E">
      <w:pPr>
        <w:pStyle w:val="12"/>
        <w:spacing w:before="1" w:line="364" w:lineRule="auto"/>
        <w:ind w:left="126" w:right="693" w:firstLine="640"/>
        <w:jc w:val="both"/>
        <w:rPr>
          <w:spacing w:val="-2"/>
        </w:rPr>
      </w:pPr>
    </w:p>
    <w:p w14:paraId="0045D1D3">
      <w:pPr>
        <w:pStyle w:val="12"/>
        <w:spacing w:before="1" w:line="364" w:lineRule="auto"/>
        <w:ind w:left="126" w:right="693" w:firstLine="640"/>
        <w:jc w:val="both"/>
        <w:rPr>
          <w:spacing w:val="-2"/>
        </w:rPr>
      </w:pPr>
    </w:p>
    <w:p w14:paraId="6E8CA65A">
      <w:pPr>
        <w:pStyle w:val="12"/>
        <w:spacing w:before="1" w:line="364" w:lineRule="auto"/>
        <w:ind w:left="126" w:right="693" w:firstLine="640"/>
        <w:jc w:val="both"/>
        <w:rPr>
          <w:spacing w:val="-2"/>
        </w:rPr>
      </w:pPr>
    </w:p>
    <w:p w14:paraId="060AC7ED">
      <w:pPr>
        <w:pStyle w:val="12"/>
        <w:spacing w:before="1" w:line="364" w:lineRule="auto"/>
        <w:ind w:left="126" w:right="693" w:firstLine="640"/>
        <w:jc w:val="both"/>
        <w:rPr>
          <w:spacing w:val="-2"/>
        </w:rPr>
      </w:pPr>
    </w:p>
    <w:p w14:paraId="07CBA9D9">
      <w:pPr>
        <w:pStyle w:val="12"/>
        <w:spacing w:before="1" w:line="364" w:lineRule="auto"/>
        <w:ind w:right="693"/>
        <w:jc w:val="both"/>
        <w:rPr>
          <w:rFonts w:hint="eastAsia" w:eastAsia="仿宋"/>
          <w:spacing w:val="-2"/>
          <w:lang w:eastAsia="zh-CN"/>
        </w:rPr>
        <w:sectPr>
          <w:headerReference r:id="rId3" w:type="default"/>
          <w:footerReference r:id="rId5" w:type="default"/>
          <w:headerReference r:id="rId4" w:type="even"/>
          <w:footerReference r:id="rId6" w:type="even"/>
          <w:pgSz w:w="11910" w:h="16840"/>
          <w:pgMar w:top="2098" w:right="1474" w:bottom="1984" w:left="1587" w:header="851" w:footer="1417" w:gutter="0"/>
          <w:pgNumType w:fmt="decimal" w:start="1"/>
          <w:cols w:space="720" w:num="1"/>
          <w:docGrid w:type="linesAndChars" w:linePitch="579" w:charSpace="15"/>
        </w:sectPr>
      </w:pPr>
    </w:p>
    <w:p w14:paraId="3EFA7560">
      <w:pPr>
        <w:bidi w:val="0"/>
        <w:jc w:val="center"/>
        <w:rPr>
          <w:rFonts w:hint="eastAsia" w:asciiTheme="majorEastAsia" w:hAnsiTheme="majorEastAsia" w:eastAsiaTheme="majorEastAsia" w:cstheme="majorEastAsia"/>
          <w:b/>
          <w:bCs/>
          <w:sz w:val="44"/>
          <w:szCs w:val="44"/>
        </w:rPr>
      </w:pPr>
      <w:bookmarkStart w:id="0" w:name="_Toc2826"/>
      <w:bookmarkStart w:id="1" w:name="_Toc9202"/>
      <w:r>
        <w:rPr>
          <w:rFonts w:hint="eastAsia" w:asciiTheme="majorEastAsia" w:hAnsiTheme="majorEastAsia" w:eastAsiaTheme="majorEastAsia" w:cstheme="majorEastAsia"/>
          <w:b/>
          <w:bCs/>
          <w:sz w:val="44"/>
          <w:szCs w:val="44"/>
        </w:rPr>
        <w:t>前言</w:t>
      </w:r>
      <w:bookmarkEnd w:id="0"/>
      <w:bookmarkEnd w:id="1"/>
    </w:p>
    <w:p w14:paraId="4E2817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32" w:firstLineChars="200"/>
        <w:jc w:val="left"/>
        <w:textAlignment w:val="top"/>
        <w:rPr>
          <w:rFonts w:hint="eastAsia" w:ascii="仿宋" w:hAnsi="仿宋" w:eastAsia="仿宋" w:cs="仿宋"/>
          <w:i w:val="0"/>
          <w:iCs w:val="0"/>
          <w:caps w:val="0"/>
          <w:spacing w:val="-2"/>
          <w:kern w:val="0"/>
          <w:sz w:val="32"/>
          <w:szCs w:val="32"/>
          <w:shd w:val="clear" w:fill="FFFFFF"/>
          <w:lang w:val="en-US" w:eastAsia="zh-CN" w:bidi="ar"/>
        </w:rPr>
      </w:pPr>
    </w:p>
    <w:p w14:paraId="3BC8C850">
      <w:pPr>
        <w:pStyle w:val="12"/>
        <w:widowControl/>
        <w:pBdr>
          <w:top w:val="none" w:color="auto" w:sz="0" w:space="0"/>
          <w:left w:val="none" w:color="auto" w:sz="0" w:space="0"/>
          <w:bottom w:val="none" w:color="auto" w:sz="0" w:space="0"/>
          <w:right w:val="none" w:color="auto" w:sz="0" w:space="0"/>
        </w:pBdr>
        <w:rPr>
          <w:i w:val="0"/>
        </w:rPr>
      </w:pPr>
      <w:r>
        <w:rPr>
          <w:i w:val="0"/>
        </w:rPr>
        <w:t>2025学年，桂平市艺术学校坚持以习近平新时代中国特色社会主义思想为指导，深入贯彻落实党的二十大和二十届三中全会精神，全面贯彻党的教育方针，认真落实《中华人民共和国职业教育法》《关于推动现代职业教育高质量发展的意见》等文件精神，在市委、市政府的正确领导和市教育局的具体指导下，学校各方面工作均取得了显著成绩。</w:t>
      </w:r>
    </w:p>
    <w:p w14:paraId="6598B83B">
      <w:pPr>
        <w:pStyle w:val="12"/>
        <w:widowControl/>
        <w:pBdr>
          <w:top w:val="none" w:color="auto" w:sz="0" w:space="0"/>
          <w:left w:val="none" w:color="auto" w:sz="0" w:space="0"/>
          <w:bottom w:val="none" w:color="auto" w:sz="0" w:space="0"/>
          <w:right w:val="none" w:color="auto" w:sz="0" w:space="0"/>
        </w:pBdr>
        <w:rPr>
          <w:i w:val="0"/>
        </w:rPr>
      </w:pPr>
      <w:r>
        <w:rPr>
          <w:i w:val="0"/>
        </w:rPr>
        <w:t>学校始终坚持以党建为统领，落实立德树人根本任务，深化教育教学改革，加强师资队伍建设，积极推进产教融合、校企合作模式创新。一年来，学校信息化水平和教育教学质量实现新突破，服务贡献能力不断增强，学校治理能力显著提升，办学特色更加鲜明，为培养德智体美劳全面发展的社会主义建设者和接班人作出了积极贡献。</w:t>
      </w:r>
    </w:p>
    <w:p w14:paraId="0008BDDA">
      <w:pPr>
        <w:pStyle w:val="12"/>
        <w:widowControl/>
        <w:pBdr>
          <w:top w:val="none" w:color="auto" w:sz="0" w:space="0"/>
          <w:left w:val="none" w:color="auto" w:sz="0" w:space="0"/>
          <w:bottom w:val="none" w:color="auto" w:sz="0" w:space="0"/>
          <w:right w:val="none" w:color="auto" w:sz="0" w:space="0"/>
        </w:pBdr>
        <w:rPr>
          <w:rFonts w:hint="eastAsia" w:ascii="方正小标宋简体" w:hAnsi="方正小标宋简体" w:eastAsia="方正小标宋简体" w:cs="方正小标宋简体"/>
          <w:b w:val="0"/>
          <w:bCs w:val="0"/>
          <w:spacing w:val="27"/>
          <w:sz w:val="44"/>
          <w:szCs w:val="44"/>
          <w:highlight w:val="none"/>
          <w:lang w:val="en-US" w:eastAsia="zh-CN"/>
        </w:rPr>
      </w:pPr>
      <w:r>
        <w:rPr>
          <w:i w:val="0"/>
        </w:rPr>
        <w:t>本报告全面总结学校2025学年在人才培养、服务贡献、文化传承、产教融合、发展保障等方面的工作成效，客观分析存在的问题与挑战，并提出下一步改进措施。学校将以此次质量报告编制为契机，进一步强化内涵建设，提升办学质量，为促进区域经济社会发展和现代职业教育体系建设作出新的更大贡献。</w:t>
      </w:r>
    </w:p>
    <w:p w14:paraId="579E78BD">
      <w:pPr>
        <w:pStyle w:val="24"/>
        <w:ind w:left="0" w:leftChars="0" w:firstLine="0" w:firstLineChars="0"/>
        <w:jc w:val="both"/>
        <w:rPr>
          <w:rFonts w:hint="eastAsia" w:ascii="方正小标宋简体" w:hAnsi="方正小标宋简体" w:eastAsia="方正小标宋简体" w:cs="方正小标宋简体"/>
          <w:b w:val="0"/>
          <w:bCs w:val="0"/>
          <w:spacing w:val="27"/>
          <w:sz w:val="44"/>
          <w:szCs w:val="44"/>
          <w:highlight w:val="none"/>
          <w:lang w:val="en-US" w:eastAsia="zh-CN"/>
        </w:rPr>
      </w:pPr>
    </w:p>
    <w:p w14:paraId="6FCAF74D">
      <w:pPr>
        <w:pStyle w:val="24"/>
        <w:ind w:left="0" w:leftChars="0" w:firstLine="0" w:firstLineChars="0"/>
        <w:jc w:val="both"/>
        <w:rPr>
          <w:rFonts w:hint="eastAsia" w:ascii="方正小标宋简体" w:hAnsi="方正小标宋简体" w:eastAsia="方正小标宋简体" w:cs="方正小标宋简体"/>
          <w:b w:val="0"/>
          <w:bCs w:val="0"/>
          <w:spacing w:val="27"/>
          <w:sz w:val="44"/>
          <w:szCs w:val="44"/>
          <w:highlight w:val="none"/>
          <w:lang w:val="en-US" w:eastAsia="zh-CN"/>
        </w:rPr>
      </w:pPr>
    </w:p>
    <w:sdt>
      <w:sdtPr>
        <w:rPr>
          <w:rFonts w:hint="eastAsia" w:asciiTheme="majorEastAsia" w:hAnsiTheme="majorEastAsia" w:eastAsiaTheme="majorEastAsia" w:cstheme="majorEastAsia"/>
          <w:b/>
          <w:bCs/>
          <w:spacing w:val="27"/>
          <w:kern w:val="2"/>
          <w:sz w:val="32"/>
          <w:szCs w:val="32"/>
          <w:highlight w:val="none"/>
          <w:lang w:val="en-US" w:eastAsia="zh-CN" w:bidi="ar-SA"/>
        </w:rPr>
        <w:id w:val="147464711"/>
        <w15:color w:val="DBDBDB"/>
        <w:docPartObj>
          <w:docPartGallery w:val="Table of Contents"/>
          <w:docPartUnique/>
        </w:docPartObj>
      </w:sdtPr>
      <w:sdtEndPr>
        <w:rPr>
          <w:rFonts w:hint="eastAsia" w:ascii="黑体" w:hAnsi="黑体" w:eastAsia="黑体" w:cs="黑体"/>
          <w:b w:val="0"/>
          <w:bCs w:val="0"/>
          <w:spacing w:val="27"/>
          <w:kern w:val="44"/>
          <w:sz w:val="32"/>
          <w:szCs w:val="32"/>
          <w:highlight w:val="none"/>
          <w:lang w:val="en-US" w:eastAsia="zh-CN" w:bidi="ar-SA"/>
        </w:rPr>
      </w:sdtEndPr>
      <w:sdtContent>
        <w:p w14:paraId="4343DB79">
          <w:pPr>
            <w:bidi w:val="0"/>
            <w:jc w:val="center"/>
            <w:rPr>
              <w:rFonts w:ascii="Times New Roman" w:hAnsi="Times New Roman" w:eastAsia="仿宋_GB2312" w:cs="仿宋_GB2312"/>
              <w:spacing w:val="-6"/>
              <w:kern w:val="0"/>
              <w:sz w:val="32"/>
              <w:szCs w:val="32"/>
            </w:rPr>
          </w:pPr>
          <w:bookmarkStart w:id="2" w:name="_Toc23779"/>
          <w:r>
            <w:rPr>
              <w:rFonts w:hint="eastAsia" w:asciiTheme="majorEastAsia" w:hAnsiTheme="majorEastAsia" w:eastAsiaTheme="majorEastAsia" w:cstheme="majorEastAsia"/>
              <w:b/>
              <w:bCs/>
              <w:spacing w:val="27"/>
              <w:kern w:val="2"/>
              <w:sz w:val="32"/>
              <w:szCs w:val="32"/>
              <w:highlight w:val="none"/>
              <w:lang w:val="en-US" w:eastAsia="zh-CN" w:bidi="ar-SA"/>
            </w:rPr>
            <w:t>目录</w:t>
          </w:r>
          <w:bookmarkEnd w:id="2"/>
          <w:r>
            <w:rPr>
              <w:rFonts w:ascii="Times New Roman" w:hAnsi="Times New Roman" w:eastAsia="仿宋_GB2312" w:cs="仿宋_GB2312"/>
              <w:spacing w:val="-6"/>
              <w:kern w:val="0"/>
              <w:sz w:val="32"/>
              <w:szCs w:val="32"/>
            </w:rPr>
            <w:fldChar w:fldCharType="begin"/>
          </w:r>
          <w:r>
            <w:rPr>
              <w:rFonts w:ascii="Times New Roman" w:hAnsi="Times New Roman" w:eastAsia="仿宋_GB2312" w:cs="仿宋_GB2312"/>
              <w:spacing w:val="-6"/>
              <w:kern w:val="0"/>
              <w:sz w:val="32"/>
              <w:szCs w:val="32"/>
            </w:rPr>
            <w:instrText xml:space="preserve">TOC \o "1-2" \h \u </w:instrText>
          </w:r>
          <w:r>
            <w:rPr>
              <w:rFonts w:ascii="Times New Roman" w:hAnsi="Times New Roman" w:eastAsia="仿宋_GB2312" w:cs="仿宋_GB2312"/>
              <w:spacing w:val="-6"/>
              <w:kern w:val="0"/>
              <w:sz w:val="32"/>
              <w:szCs w:val="32"/>
            </w:rPr>
            <w:fldChar w:fldCharType="separate"/>
          </w:r>
        </w:p>
        <w:p w14:paraId="211A0B0A">
          <w:pPr>
            <w:pStyle w:val="15"/>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_Toc20962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一、 </w:t>
          </w:r>
          <w:r>
            <w:rPr>
              <w:rFonts w:ascii="Times New Roman" w:hAnsi="Times New Roman" w:eastAsia="仿宋_GB2312" w:cs="仿宋_GB2312"/>
              <w:spacing w:val="-6"/>
              <w:sz w:val="32"/>
              <w:szCs w:val="32"/>
            </w:rPr>
            <w:t>学校概况</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_Toc20962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3862B666">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_Toc12003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（一） </w:t>
          </w:r>
          <w:r>
            <w:rPr>
              <w:rFonts w:ascii="Times New Roman" w:hAnsi="Times New Roman" w:eastAsia="仿宋_GB2312" w:cs="仿宋_GB2312"/>
              <w:spacing w:val="-6"/>
              <w:sz w:val="32"/>
              <w:szCs w:val="32"/>
            </w:rPr>
            <w:t>基本情况</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_Toc12003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6EEF7CD4">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_Toc20883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（二） </w:t>
          </w:r>
          <w:r>
            <w:rPr>
              <w:rFonts w:ascii="Times New Roman" w:hAnsi="Times New Roman" w:eastAsia="仿宋_GB2312" w:cs="仿宋_GB2312"/>
              <w:spacing w:val="-6"/>
              <w:sz w:val="32"/>
              <w:szCs w:val="32"/>
            </w:rPr>
            <w:t>专业设置</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_Toc20883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2</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5B5B279B">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_Toc13152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（三） </w:t>
          </w:r>
          <w:r>
            <w:rPr>
              <w:rFonts w:ascii="Times New Roman" w:hAnsi="Times New Roman" w:eastAsia="仿宋_GB2312" w:cs="仿宋_GB2312"/>
              <w:spacing w:val="-6"/>
              <w:sz w:val="32"/>
              <w:szCs w:val="32"/>
            </w:rPr>
            <w:t>师资队伍</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_Toc13152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2</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5D35CAC6">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_Toc2960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（四） </w:t>
          </w:r>
          <w:r>
            <w:rPr>
              <w:rFonts w:ascii="Times New Roman" w:hAnsi="Times New Roman" w:eastAsia="仿宋_GB2312" w:cs="仿宋_GB2312"/>
              <w:spacing w:val="-6"/>
              <w:sz w:val="32"/>
              <w:szCs w:val="32"/>
            </w:rPr>
            <w:t>学生规模</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_Toc2960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3</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3D77E04C">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_Toc14501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（五） </w:t>
          </w:r>
          <w:r>
            <w:rPr>
              <w:rFonts w:ascii="Times New Roman" w:hAnsi="Times New Roman" w:eastAsia="仿宋_GB2312" w:cs="仿宋_GB2312"/>
              <w:spacing w:val="-6"/>
              <w:sz w:val="32"/>
              <w:szCs w:val="32"/>
            </w:rPr>
            <w:t>办学条件</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_Toc14501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3</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71D3582C">
          <w:pPr>
            <w:pStyle w:val="15"/>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_Toc17704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二、 </w:t>
          </w:r>
          <w:r>
            <w:rPr>
              <w:rFonts w:ascii="Times New Roman" w:hAnsi="Times New Roman" w:eastAsia="仿宋_GB2312" w:cs="仿宋_GB2312"/>
              <w:spacing w:val="-6"/>
              <w:sz w:val="32"/>
              <w:szCs w:val="32"/>
            </w:rPr>
            <w:t>人才培养</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_Toc17704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3</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6839E5B0">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_Toc1614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（一） </w:t>
          </w:r>
          <w:r>
            <w:rPr>
              <w:rFonts w:ascii="Times New Roman" w:hAnsi="Times New Roman" w:eastAsia="仿宋_GB2312" w:cs="仿宋_GB2312"/>
              <w:spacing w:val="-6"/>
              <w:sz w:val="32"/>
              <w:szCs w:val="32"/>
            </w:rPr>
            <w:t>立德树人</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_Toc1614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3</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6263A338">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_Toc26873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（二） </w:t>
          </w:r>
          <w:r>
            <w:rPr>
              <w:rFonts w:ascii="Times New Roman" w:hAnsi="Times New Roman" w:eastAsia="仿宋_GB2312" w:cs="仿宋_GB2312"/>
              <w:spacing w:val="-6"/>
              <w:sz w:val="32"/>
              <w:szCs w:val="32"/>
            </w:rPr>
            <w:t>专业建设</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_Toc26873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6</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03102A66">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_Toc16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（三） </w:t>
          </w:r>
          <w:r>
            <w:rPr>
              <w:rFonts w:ascii="Times New Roman" w:hAnsi="Times New Roman" w:eastAsia="仿宋_GB2312" w:cs="仿宋_GB2312"/>
              <w:spacing w:val="-6"/>
              <w:sz w:val="32"/>
              <w:szCs w:val="32"/>
            </w:rPr>
            <w:t>课程建设</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_Toc16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7</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1CFCC601">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_Toc10549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（四） </w:t>
          </w:r>
          <w:r>
            <w:rPr>
              <w:rFonts w:ascii="Times New Roman" w:hAnsi="Times New Roman" w:eastAsia="仿宋_GB2312" w:cs="仿宋_GB2312"/>
              <w:spacing w:val="-6"/>
              <w:sz w:val="32"/>
              <w:szCs w:val="32"/>
            </w:rPr>
            <w:t>教材建设</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_Toc10549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7</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60AEE529">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_Toc8055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（五） </w:t>
          </w:r>
          <w:r>
            <w:rPr>
              <w:rFonts w:ascii="Times New Roman" w:hAnsi="Times New Roman" w:eastAsia="仿宋_GB2312" w:cs="仿宋_GB2312"/>
              <w:spacing w:val="-6"/>
              <w:sz w:val="32"/>
              <w:szCs w:val="32"/>
            </w:rPr>
            <w:t>师资建设</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_Toc8055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8</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7540B257">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_Toc28879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（六） </w:t>
          </w:r>
          <w:r>
            <w:rPr>
              <w:rFonts w:ascii="Times New Roman" w:hAnsi="Times New Roman" w:eastAsia="仿宋_GB2312" w:cs="仿宋_GB2312"/>
              <w:spacing w:val="-6"/>
              <w:sz w:val="32"/>
              <w:szCs w:val="32"/>
            </w:rPr>
            <w:t>实训基地建设</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_Toc28879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9</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3F3F5AE6">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_Toc1246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（七） </w:t>
          </w:r>
          <w:r>
            <w:rPr>
              <w:rFonts w:ascii="Times New Roman" w:hAnsi="Times New Roman" w:eastAsia="仿宋_GB2312" w:cs="仿宋_GB2312"/>
              <w:spacing w:val="-6"/>
              <w:sz w:val="32"/>
              <w:szCs w:val="32"/>
            </w:rPr>
            <w:t>技能成长</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_Toc1246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9</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3AFA2911">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_Toc802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（八） </w:t>
          </w:r>
          <w:r>
            <w:rPr>
              <w:rFonts w:ascii="Times New Roman" w:hAnsi="Times New Roman" w:eastAsia="仿宋_GB2312" w:cs="仿宋_GB2312"/>
              <w:spacing w:val="-6"/>
              <w:sz w:val="32"/>
              <w:szCs w:val="32"/>
            </w:rPr>
            <w:t>多样成长</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_Toc802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10</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3F677BCE">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_Toc8434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（九） </w:t>
          </w:r>
          <w:r>
            <w:rPr>
              <w:rFonts w:ascii="Times New Roman" w:hAnsi="Times New Roman" w:eastAsia="仿宋_GB2312" w:cs="仿宋_GB2312"/>
              <w:spacing w:val="-6"/>
              <w:sz w:val="32"/>
              <w:szCs w:val="32"/>
            </w:rPr>
            <w:t>学生发展融通的实践成效等</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_Toc8434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11</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17C8A4A4">
          <w:pPr>
            <w:pStyle w:val="15"/>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_Toc26076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三、 </w:t>
          </w:r>
          <w:r>
            <w:rPr>
              <w:rFonts w:ascii="Times New Roman" w:hAnsi="Times New Roman" w:eastAsia="仿宋_GB2312" w:cs="仿宋_GB2312"/>
              <w:spacing w:val="-6"/>
              <w:sz w:val="32"/>
              <w:szCs w:val="32"/>
            </w:rPr>
            <w:t>服务贡献</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_Toc26076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12</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7A580699">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_Toc17276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（一） </w:t>
          </w:r>
          <w:r>
            <w:rPr>
              <w:rFonts w:ascii="Times New Roman" w:hAnsi="Times New Roman" w:eastAsia="仿宋_GB2312" w:cs="仿宋_GB2312"/>
              <w:spacing w:val="-6"/>
              <w:sz w:val="32"/>
              <w:szCs w:val="32"/>
            </w:rPr>
            <w:t>服务国家战略</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_Toc17276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12</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3DFBDE10">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_Toc20273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（二） </w:t>
          </w:r>
          <w:r>
            <w:rPr>
              <w:rFonts w:ascii="Times New Roman" w:hAnsi="Times New Roman" w:eastAsia="仿宋_GB2312" w:cs="仿宋_GB2312"/>
              <w:spacing w:val="-6"/>
              <w:sz w:val="32"/>
              <w:szCs w:val="32"/>
            </w:rPr>
            <w:t>服务行业企业</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_Toc20273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12</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0036C2BD">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_Toc327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（三） </w:t>
          </w:r>
          <w:r>
            <w:rPr>
              <w:rFonts w:ascii="Times New Roman" w:hAnsi="Times New Roman" w:eastAsia="仿宋_GB2312" w:cs="仿宋_GB2312"/>
              <w:spacing w:val="-6"/>
              <w:sz w:val="32"/>
              <w:szCs w:val="32"/>
            </w:rPr>
            <w:t>服务地方发展</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_Toc327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13</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56C468CC">
          <w:pPr>
            <w:pStyle w:val="15"/>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_Toc25241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四、 </w:t>
          </w:r>
          <w:r>
            <w:rPr>
              <w:rFonts w:ascii="Times New Roman" w:hAnsi="Times New Roman" w:eastAsia="仿宋_GB2312" w:cs="仿宋_GB2312"/>
              <w:spacing w:val="-6"/>
              <w:sz w:val="32"/>
              <w:szCs w:val="32"/>
            </w:rPr>
            <w:t>文化传承</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_Toc25241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13</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1EDA8968">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_Toc12886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（一） </w:t>
          </w:r>
          <w:r>
            <w:rPr>
              <w:rFonts w:ascii="Times New Roman" w:hAnsi="Times New Roman" w:eastAsia="仿宋_GB2312" w:cs="仿宋_GB2312"/>
              <w:spacing w:val="-6"/>
              <w:sz w:val="32"/>
              <w:szCs w:val="32"/>
            </w:rPr>
            <w:t>工匠精神</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_Toc12886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13</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1BEE981C">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_Toc6323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（二） </w:t>
          </w:r>
          <w:r>
            <w:rPr>
              <w:rFonts w:ascii="Times New Roman" w:hAnsi="Times New Roman" w:eastAsia="仿宋_GB2312" w:cs="仿宋_GB2312"/>
              <w:spacing w:val="-6"/>
              <w:sz w:val="32"/>
              <w:szCs w:val="32"/>
            </w:rPr>
            <w:t>红色文化</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_Toc6323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13</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4EB7E3A9">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_Toc4818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（三） </w:t>
          </w:r>
          <w:r>
            <w:rPr>
              <w:rFonts w:ascii="Times New Roman" w:hAnsi="Times New Roman" w:eastAsia="仿宋_GB2312" w:cs="仿宋_GB2312"/>
              <w:spacing w:val="-6"/>
              <w:sz w:val="32"/>
              <w:szCs w:val="32"/>
            </w:rPr>
            <w:t>中华传统优秀文化</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_Toc4818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14</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631220A0">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_Toc21245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（四） </w:t>
          </w:r>
          <w:r>
            <w:rPr>
              <w:rFonts w:ascii="Times New Roman" w:hAnsi="Times New Roman" w:eastAsia="仿宋_GB2312" w:cs="仿宋_GB2312"/>
              <w:spacing w:val="-6"/>
              <w:sz w:val="32"/>
              <w:szCs w:val="32"/>
            </w:rPr>
            <w:t>校园文化和地方文化</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_Toc21245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14</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46D55D11">
          <w:pPr>
            <w:pStyle w:val="15"/>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_Toc9300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五、 </w:t>
          </w:r>
          <w:r>
            <w:rPr>
              <w:rFonts w:ascii="Times New Roman" w:hAnsi="Times New Roman" w:eastAsia="仿宋_GB2312" w:cs="仿宋_GB2312"/>
              <w:spacing w:val="-6"/>
              <w:sz w:val="32"/>
              <w:szCs w:val="32"/>
            </w:rPr>
            <w:t>产教融合</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_Toc9300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15</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20B84163">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_Toc25212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（一） </w:t>
          </w:r>
          <w:r>
            <w:rPr>
              <w:rFonts w:ascii="Times New Roman" w:hAnsi="Times New Roman" w:eastAsia="仿宋_GB2312" w:cs="仿宋_GB2312"/>
              <w:spacing w:val="-6"/>
              <w:sz w:val="32"/>
              <w:szCs w:val="32"/>
            </w:rPr>
            <w:t>机制建设</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_Toc25212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15</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5B109F4D">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_Toc6765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（二） </w:t>
          </w:r>
          <w:r>
            <w:rPr>
              <w:rFonts w:ascii="Times New Roman" w:hAnsi="Times New Roman" w:eastAsia="仿宋_GB2312" w:cs="仿宋_GB2312"/>
              <w:spacing w:val="-6"/>
              <w:sz w:val="32"/>
              <w:szCs w:val="32"/>
            </w:rPr>
            <w:t>资源建设</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_Toc6765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16</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72263000">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_Toc16531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（三） </w:t>
          </w:r>
          <w:r>
            <w:rPr>
              <w:rFonts w:ascii="Times New Roman" w:hAnsi="Times New Roman" w:eastAsia="仿宋_GB2312" w:cs="仿宋_GB2312"/>
              <w:spacing w:val="-6"/>
              <w:sz w:val="32"/>
              <w:szCs w:val="32"/>
            </w:rPr>
            <w:t>协同育人</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_Toc16531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16</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1967B1B9">
          <w:pPr>
            <w:pStyle w:val="15"/>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_Toc13476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六、 </w:t>
          </w:r>
          <w:r>
            <w:rPr>
              <w:rFonts w:ascii="Times New Roman" w:hAnsi="Times New Roman" w:eastAsia="仿宋_GB2312" w:cs="仿宋_GB2312"/>
              <w:spacing w:val="-6"/>
              <w:sz w:val="32"/>
              <w:szCs w:val="32"/>
            </w:rPr>
            <w:t>发展保障</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_Toc13476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17</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5DFE58A7">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_Toc29588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（一） </w:t>
          </w:r>
          <w:r>
            <w:rPr>
              <w:rFonts w:ascii="Times New Roman" w:hAnsi="Times New Roman" w:eastAsia="仿宋_GB2312" w:cs="仿宋_GB2312"/>
              <w:spacing w:val="-6"/>
              <w:sz w:val="32"/>
              <w:szCs w:val="32"/>
            </w:rPr>
            <w:t>党建引领</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_Toc29588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17</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76A5ED08">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_Toc14665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（二） </w:t>
          </w:r>
          <w:r>
            <w:rPr>
              <w:rFonts w:ascii="Times New Roman" w:hAnsi="Times New Roman" w:eastAsia="仿宋_GB2312" w:cs="仿宋_GB2312"/>
              <w:spacing w:val="-6"/>
              <w:sz w:val="32"/>
              <w:szCs w:val="32"/>
            </w:rPr>
            <w:t>政策落实</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_Toc14665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18</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5E9D86CB">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_Toc9423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（三） </w:t>
          </w:r>
          <w:r>
            <w:rPr>
              <w:rFonts w:ascii="Times New Roman" w:hAnsi="Times New Roman" w:eastAsia="仿宋_GB2312" w:cs="仿宋_GB2312"/>
              <w:spacing w:val="-6"/>
              <w:sz w:val="32"/>
              <w:szCs w:val="32"/>
            </w:rPr>
            <w:t>专项实施</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_Toc9423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19</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2719EE01">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_Toc8123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（四） </w:t>
          </w:r>
          <w:r>
            <w:rPr>
              <w:rFonts w:ascii="Times New Roman" w:hAnsi="Times New Roman" w:eastAsia="仿宋_GB2312" w:cs="仿宋_GB2312"/>
              <w:spacing w:val="-6"/>
              <w:sz w:val="32"/>
              <w:szCs w:val="32"/>
            </w:rPr>
            <w:t>质量保证</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_Toc8123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20</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44B3C737">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_Toc23599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（五） </w:t>
          </w:r>
          <w:r>
            <w:rPr>
              <w:rFonts w:ascii="Times New Roman" w:hAnsi="Times New Roman" w:eastAsia="仿宋_GB2312" w:cs="仿宋_GB2312"/>
              <w:spacing w:val="-6"/>
              <w:sz w:val="32"/>
              <w:szCs w:val="32"/>
            </w:rPr>
            <w:t>经费保障</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_Toc23599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21</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397B93E3">
          <w:pPr>
            <w:pStyle w:val="15"/>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_Toc11805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七、 </w:t>
          </w:r>
          <w:r>
            <w:rPr>
              <w:rFonts w:ascii="Times New Roman" w:hAnsi="Times New Roman" w:eastAsia="仿宋_GB2312" w:cs="仿宋_GB2312"/>
              <w:spacing w:val="-6"/>
              <w:sz w:val="32"/>
              <w:szCs w:val="32"/>
            </w:rPr>
            <w:t>面临挑战</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_Toc11805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21</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65BA2931">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_Toc13730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（一） </w:t>
          </w:r>
          <w:r>
            <w:rPr>
              <w:rFonts w:ascii="Times New Roman" w:hAnsi="Times New Roman" w:eastAsia="仿宋_GB2312" w:cs="仿宋_GB2312"/>
              <w:spacing w:val="-6"/>
              <w:sz w:val="32"/>
              <w:szCs w:val="32"/>
            </w:rPr>
            <w:t>面临挑战</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_Toc13730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21</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0D40A09D">
          <w:pPr>
            <w:pStyle w:val="18"/>
            <w:tabs>
              <w:tab w:val="right" w:leader="dot" w:pos="8845"/>
            </w:tabs>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HYPERLINK \l _Toc11670 </w:instrText>
          </w:r>
          <w:r>
            <w:rPr>
              <w:rFonts w:ascii="Times New Roman" w:hAnsi="Times New Roman" w:eastAsia="仿宋_GB2312" w:cs="仿宋_GB2312"/>
              <w:spacing w:val="-6"/>
              <w:sz w:val="32"/>
              <w:szCs w:val="32"/>
            </w:rPr>
            <w:fldChar w:fldCharType="separate"/>
          </w:r>
          <w:r>
            <w:rPr>
              <w:rFonts w:hint="eastAsia" w:ascii="Times New Roman" w:hAnsi="Times New Roman" w:eastAsia="仿宋_GB2312" w:cs="仿宋_GB2312"/>
              <w:spacing w:val="-6"/>
              <w:sz w:val="32"/>
              <w:szCs w:val="32"/>
            </w:rPr>
            <w:t xml:space="preserve">（二） </w:t>
          </w:r>
          <w:r>
            <w:rPr>
              <w:rFonts w:ascii="Times New Roman" w:hAnsi="Times New Roman" w:eastAsia="仿宋_GB2312" w:cs="仿宋_GB2312"/>
              <w:spacing w:val="-6"/>
              <w:sz w:val="32"/>
              <w:szCs w:val="32"/>
            </w:rPr>
            <w:t>原因分析及举措</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_Toc11670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22</w:t>
          </w:r>
          <w:r>
            <w:rPr>
              <w:rFonts w:ascii="Times New Roman" w:hAnsi="Times New Roman" w:eastAsia="仿宋_GB2312" w:cs="仿宋_GB2312"/>
              <w:spacing w:val="-6"/>
              <w:sz w:val="32"/>
              <w:szCs w:val="32"/>
            </w:rPr>
            <w:fldChar w:fldCharType="end"/>
          </w:r>
          <w:r>
            <w:rPr>
              <w:rFonts w:ascii="Times New Roman" w:hAnsi="Times New Roman" w:eastAsia="仿宋_GB2312" w:cs="仿宋_GB2312"/>
              <w:spacing w:val="-6"/>
              <w:sz w:val="32"/>
              <w:szCs w:val="32"/>
            </w:rPr>
            <w:fldChar w:fldCharType="end"/>
          </w:r>
        </w:p>
        <w:p w14:paraId="11D7B316">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b w:val="0"/>
              <w:bCs w:val="0"/>
              <w:spacing w:val="27"/>
              <w:sz w:val="44"/>
              <w:szCs w:val="44"/>
              <w:highlight w:val="none"/>
              <w:lang w:eastAsia="zh-CN"/>
            </w:rPr>
          </w:pPr>
          <w:r>
            <w:rPr>
              <w:rFonts w:ascii="Times New Roman" w:hAnsi="Times New Roman" w:eastAsia="仿宋_GB2312" w:cs="仿宋_GB2312"/>
              <w:spacing w:val="-6"/>
              <w:kern w:val="0"/>
              <w:sz w:val="32"/>
              <w:szCs w:val="32"/>
            </w:rPr>
            <w:fldChar w:fldCharType="end"/>
          </w:r>
        </w:p>
      </w:sdtContent>
    </w:sdt>
    <w:p w14:paraId="271174A6">
      <w:pPr>
        <w:pStyle w:val="24"/>
        <w:ind w:left="0" w:leftChars="0" w:firstLine="0" w:firstLineChars="0"/>
        <w:jc w:val="center"/>
        <w:rPr>
          <w:rFonts w:hint="eastAsia" w:ascii="方正小标宋简体" w:hAnsi="方正小标宋简体" w:eastAsia="方正小标宋简体" w:cs="方正小标宋简体"/>
          <w:b w:val="0"/>
          <w:bCs w:val="0"/>
          <w:spacing w:val="27"/>
          <w:sz w:val="44"/>
          <w:szCs w:val="44"/>
          <w:highlight w:val="none"/>
          <w:lang w:val="en-US" w:eastAsia="zh-CN"/>
        </w:rPr>
        <w:sectPr>
          <w:footerReference r:id="rId7" w:type="default"/>
          <w:footerReference r:id="rId8" w:type="even"/>
          <w:pgSz w:w="11906" w:h="16838"/>
          <w:pgMar w:top="1814" w:right="1474" w:bottom="1814" w:left="1587" w:header="851" w:footer="1417" w:gutter="0"/>
          <w:pgNumType w:fmt="decimal"/>
          <w:cols w:space="425" w:num="1"/>
          <w:docGrid w:type="linesAndChars" w:linePitch="579" w:charSpace="15"/>
        </w:sectPr>
      </w:pPr>
    </w:p>
    <w:p w14:paraId="4D8ADCF4">
      <w:pPr>
        <w:pStyle w:val="24"/>
        <w:ind w:left="0" w:leftChars="0" w:firstLine="0" w:firstLineChars="0"/>
        <w:jc w:val="center"/>
        <w:rPr>
          <w:rFonts w:hint="eastAsia" w:asciiTheme="majorEastAsia" w:hAnsiTheme="majorEastAsia" w:eastAsiaTheme="majorEastAsia" w:cstheme="majorEastAsia"/>
          <w:b/>
          <w:bCs/>
          <w:spacing w:val="27"/>
          <w:sz w:val="32"/>
          <w:szCs w:val="32"/>
          <w:highlight w:val="none"/>
          <w:lang w:val="en-US" w:eastAsia="zh-CN"/>
        </w:rPr>
      </w:pPr>
      <w:r>
        <w:rPr>
          <w:rFonts w:hint="eastAsia" w:asciiTheme="majorEastAsia" w:hAnsiTheme="majorEastAsia" w:eastAsiaTheme="majorEastAsia" w:cstheme="majorEastAsia"/>
          <w:b/>
          <w:bCs/>
          <w:spacing w:val="27"/>
          <w:sz w:val="32"/>
          <w:szCs w:val="32"/>
          <w:highlight w:val="none"/>
          <w:lang w:val="en-US" w:eastAsia="zh-CN"/>
        </w:rPr>
        <w:t>表目录</w:t>
      </w:r>
    </w:p>
    <w:p w14:paraId="1FE88AF0">
      <w:pPr>
        <w:pStyle w:val="17"/>
        <w:tabs>
          <w:tab w:val="right" w:leader="dot" w:pos="8845"/>
        </w:tabs>
        <w:rPr>
          <w:rFonts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TOC \h \c "表"</w:instrText>
      </w:r>
      <w:r>
        <w:rPr>
          <w:rFonts w:hint="eastAsia" w:ascii="Times New Roman" w:hAnsi="Times New Roman" w:eastAsia="仿宋_GB2312" w:cs="仿宋_GB2312"/>
          <w:spacing w:val="-6"/>
          <w:sz w:val="32"/>
          <w:szCs w:val="32"/>
          <w:lang w:val="en-US" w:eastAsia="zh-CN"/>
        </w:rPr>
        <w:fldChar w:fldCharType="separate"/>
      </w: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 HYPERLINK \l _Toc18325 </w:instrText>
      </w:r>
      <w:r>
        <w:rPr>
          <w:rFonts w:hint="eastAsia" w:ascii="Times New Roman" w:hAnsi="Times New Roman" w:eastAsia="仿宋_GB2312" w:cs="仿宋_GB2312"/>
          <w:spacing w:val="-6"/>
          <w:sz w:val="32"/>
          <w:szCs w:val="32"/>
          <w:lang w:val="en-US" w:eastAsia="zh-CN"/>
        </w:rPr>
        <w:fldChar w:fldCharType="separate"/>
      </w:r>
      <w:r>
        <w:rPr>
          <w:rFonts w:ascii="Times New Roman" w:hAnsi="Times New Roman" w:eastAsia="仿宋_GB2312" w:cs="仿宋_GB2312"/>
          <w:spacing w:val="-6"/>
          <w:sz w:val="32"/>
          <w:szCs w:val="32"/>
        </w:rPr>
        <w:t xml:space="preserve">表 1 </w:t>
      </w:r>
      <w:r>
        <w:rPr>
          <w:rFonts w:hint="eastAsia" w:ascii="Times New Roman" w:hAnsi="Times New Roman" w:eastAsia="仿宋_GB2312" w:cs="仿宋_GB2312"/>
          <w:spacing w:val="-6"/>
          <w:sz w:val="32"/>
          <w:szCs w:val="32"/>
          <w:lang w:val="en-US" w:eastAsia="zh-CN"/>
        </w:rPr>
        <w:t xml:space="preserve"> </w:t>
      </w:r>
      <w:r>
        <w:rPr>
          <w:rFonts w:ascii="Times New Roman" w:hAnsi="Times New Roman" w:eastAsia="仿宋_GB2312" w:cs="仿宋_GB2312"/>
          <w:spacing w:val="-6"/>
          <w:sz w:val="32"/>
          <w:szCs w:val="32"/>
        </w:rPr>
        <w:t>桂平市艺术学校 2024－2025年学生资助情况表</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_Toc18325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19</w:t>
      </w:r>
      <w:r>
        <w:rPr>
          <w:rFonts w:ascii="Times New Roman" w:hAnsi="Times New Roman" w:eastAsia="仿宋_GB2312" w:cs="仿宋_GB2312"/>
          <w:spacing w:val="-6"/>
          <w:sz w:val="32"/>
          <w:szCs w:val="32"/>
        </w:rPr>
        <w:fldChar w:fldCharType="end"/>
      </w:r>
      <w:r>
        <w:rPr>
          <w:rFonts w:hint="eastAsia" w:ascii="Times New Roman" w:hAnsi="Times New Roman" w:eastAsia="仿宋_GB2312" w:cs="仿宋_GB2312"/>
          <w:spacing w:val="-6"/>
          <w:sz w:val="32"/>
          <w:szCs w:val="32"/>
          <w:lang w:val="en-US" w:eastAsia="zh-CN"/>
        </w:rPr>
        <w:fldChar w:fldCharType="end"/>
      </w:r>
    </w:p>
    <w:p w14:paraId="474FF405">
      <w:pPr>
        <w:pStyle w:val="24"/>
        <w:ind w:left="0" w:leftChars="0" w:firstLine="0" w:firstLineChars="0"/>
        <w:jc w:val="center"/>
        <w:rPr>
          <w:rFonts w:hint="eastAsia" w:ascii="方正小标宋简体" w:hAnsi="方正小标宋简体" w:eastAsia="方正小标宋简体" w:cs="方正小标宋简体"/>
          <w:b w:val="0"/>
          <w:bCs w:val="0"/>
          <w:spacing w:val="27"/>
          <w:sz w:val="44"/>
          <w:szCs w:val="44"/>
          <w:highlight w:val="none"/>
          <w:lang w:val="en-US" w:eastAsia="zh-CN"/>
        </w:rPr>
      </w:pPr>
      <w:r>
        <w:rPr>
          <w:rFonts w:hint="eastAsia" w:ascii="Times New Roman" w:hAnsi="Times New Roman" w:eastAsia="仿宋_GB2312" w:cs="仿宋_GB2312"/>
          <w:spacing w:val="-6"/>
          <w:sz w:val="32"/>
          <w:szCs w:val="32"/>
          <w:lang w:val="en-US" w:eastAsia="zh-CN"/>
        </w:rPr>
        <w:fldChar w:fldCharType="end"/>
      </w:r>
    </w:p>
    <w:p w14:paraId="01559DC3">
      <w:pPr>
        <w:pStyle w:val="24"/>
        <w:ind w:left="0" w:leftChars="0" w:firstLine="0" w:firstLineChars="0"/>
        <w:jc w:val="center"/>
        <w:rPr>
          <w:rFonts w:hint="eastAsia" w:asciiTheme="majorEastAsia" w:hAnsiTheme="majorEastAsia" w:eastAsiaTheme="majorEastAsia" w:cstheme="majorEastAsia"/>
          <w:b/>
          <w:bCs/>
          <w:spacing w:val="27"/>
          <w:sz w:val="32"/>
          <w:szCs w:val="32"/>
          <w:highlight w:val="none"/>
          <w:lang w:val="en-US" w:eastAsia="zh-CN"/>
        </w:rPr>
      </w:pPr>
      <w:r>
        <w:rPr>
          <w:rFonts w:hint="eastAsia" w:asciiTheme="majorEastAsia" w:hAnsiTheme="majorEastAsia" w:eastAsiaTheme="majorEastAsia" w:cstheme="majorEastAsia"/>
          <w:b/>
          <w:bCs/>
          <w:spacing w:val="27"/>
          <w:sz w:val="32"/>
          <w:szCs w:val="32"/>
          <w:highlight w:val="none"/>
          <w:lang w:val="en-US" w:eastAsia="zh-CN"/>
        </w:rPr>
        <w:t>图目录</w:t>
      </w:r>
    </w:p>
    <w:p w14:paraId="6C3D9312">
      <w:pPr>
        <w:pStyle w:val="17"/>
        <w:tabs>
          <w:tab w:val="right" w:leader="dot" w:pos="8845"/>
        </w:tabs>
        <w:rPr>
          <w:rFonts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TOC \h \c "图"</w:instrText>
      </w:r>
      <w:r>
        <w:rPr>
          <w:rFonts w:hint="eastAsia" w:ascii="Times New Roman" w:hAnsi="Times New Roman" w:eastAsia="仿宋_GB2312" w:cs="仿宋_GB2312"/>
          <w:spacing w:val="-6"/>
          <w:sz w:val="32"/>
          <w:szCs w:val="32"/>
          <w:lang w:val="en-US" w:eastAsia="zh-CN"/>
        </w:rPr>
        <w:fldChar w:fldCharType="separate"/>
      </w: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 HYPERLINK \l _Toc5488 </w:instrText>
      </w:r>
      <w:r>
        <w:rPr>
          <w:rFonts w:hint="eastAsia" w:ascii="Times New Roman" w:hAnsi="Times New Roman" w:eastAsia="仿宋_GB2312" w:cs="仿宋_GB2312"/>
          <w:spacing w:val="-6"/>
          <w:sz w:val="32"/>
          <w:szCs w:val="32"/>
          <w:lang w:val="en-US" w:eastAsia="zh-CN"/>
        </w:rPr>
        <w:fldChar w:fldCharType="separate"/>
      </w:r>
      <w:r>
        <w:rPr>
          <w:rFonts w:ascii="Times New Roman" w:hAnsi="Times New Roman" w:eastAsia="仿宋_GB2312" w:cs="仿宋_GB2312"/>
          <w:spacing w:val="-6"/>
          <w:sz w:val="32"/>
          <w:szCs w:val="32"/>
        </w:rPr>
        <w:t>图 1 ：学校校园环境图</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_Toc5488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w:t>
      </w:r>
      <w:r>
        <w:rPr>
          <w:rFonts w:ascii="Times New Roman" w:hAnsi="Times New Roman" w:eastAsia="仿宋_GB2312" w:cs="仿宋_GB2312"/>
          <w:spacing w:val="-6"/>
          <w:sz w:val="32"/>
          <w:szCs w:val="32"/>
        </w:rPr>
        <w:fldChar w:fldCharType="end"/>
      </w:r>
      <w:r>
        <w:rPr>
          <w:rFonts w:hint="eastAsia" w:ascii="Times New Roman" w:hAnsi="Times New Roman" w:eastAsia="仿宋_GB2312" w:cs="仿宋_GB2312"/>
          <w:spacing w:val="-6"/>
          <w:sz w:val="32"/>
          <w:szCs w:val="32"/>
          <w:lang w:val="en-US" w:eastAsia="zh-CN"/>
        </w:rPr>
        <w:fldChar w:fldCharType="end"/>
      </w:r>
    </w:p>
    <w:p w14:paraId="312B32D8">
      <w:pPr>
        <w:pStyle w:val="17"/>
        <w:tabs>
          <w:tab w:val="right" w:leader="dot" w:pos="8845"/>
        </w:tabs>
        <w:rPr>
          <w:rFonts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 HYPERLINK \l _Toc12975 </w:instrText>
      </w:r>
      <w:r>
        <w:rPr>
          <w:rFonts w:hint="eastAsia" w:ascii="Times New Roman" w:hAnsi="Times New Roman" w:eastAsia="仿宋_GB2312" w:cs="仿宋_GB2312"/>
          <w:spacing w:val="-6"/>
          <w:sz w:val="32"/>
          <w:szCs w:val="32"/>
          <w:lang w:val="en-US" w:eastAsia="zh-CN"/>
        </w:rPr>
        <w:fldChar w:fldCharType="separate"/>
      </w:r>
      <w:r>
        <w:rPr>
          <w:rFonts w:ascii="Times New Roman" w:hAnsi="Times New Roman" w:eastAsia="仿宋_GB2312" w:cs="仿宋_GB2312"/>
          <w:spacing w:val="-6"/>
          <w:sz w:val="32"/>
          <w:szCs w:val="32"/>
        </w:rPr>
        <w:t xml:space="preserve">图 2 </w:t>
      </w:r>
      <w:r>
        <w:rPr>
          <w:rFonts w:hint="eastAsia" w:ascii="Times New Roman" w:hAnsi="Times New Roman" w:eastAsia="仿宋_GB2312" w:cs="仿宋_GB2312"/>
          <w:spacing w:val="-6"/>
          <w:sz w:val="32"/>
          <w:szCs w:val="32"/>
          <w:lang w:eastAsia="zh-CN"/>
        </w:rPr>
        <w:t>：</w:t>
      </w:r>
      <w:r>
        <w:rPr>
          <w:rFonts w:ascii="Times New Roman" w:hAnsi="Times New Roman" w:eastAsia="仿宋_GB2312" w:cs="仿宋_GB2312"/>
          <w:spacing w:val="-6"/>
          <w:sz w:val="32"/>
          <w:szCs w:val="32"/>
        </w:rPr>
        <w:t>学校举办红色歌曲合唱暨朗诵比赛</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_Toc12975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4</w:t>
      </w:r>
      <w:r>
        <w:rPr>
          <w:rFonts w:ascii="Times New Roman" w:hAnsi="Times New Roman" w:eastAsia="仿宋_GB2312" w:cs="仿宋_GB2312"/>
          <w:spacing w:val="-6"/>
          <w:sz w:val="32"/>
          <w:szCs w:val="32"/>
        </w:rPr>
        <w:fldChar w:fldCharType="end"/>
      </w:r>
      <w:r>
        <w:rPr>
          <w:rFonts w:hint="eastAsia" w:ascii="Times New Roman" w:hAnsi="Times New Roman" w:eastAsia="仿宋_GB2312" w:cs="仿宋_GB2312"/>
          <w:spacing w:val="-6"/>
          <w:sz w:val="32"/>
          <w:szCs w:val="32"/>
          <w:lang w:val="en-US" w:eastAsia="zh-CN"/>
        </w:rPr>
        <w:fldChar w:fldCharType="end"/>
      </w:r>
    </w:p>
    <w:p w14:paraId="11A84807">
      <w:pPr>
        <w:pStyle w:val="17"/>
        <w:tabs>
          <w:tab w:val="right" w:leader="dot" w:pos="8845"/>
        </w:tabs>
        <w:rPr>
          <w:rFonts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 HYPERLINK \l _Toc29541 </w:instrText>
      </w:r>
      <w:r>
        <w:rPr>
          <w:rFonts w:hint="eastAsia" w:ascii="Times New Roman" w:hAnsi="Times New Roman" w:eastAsia="仿宋_GB2312" w:cs="仿宋_GB2312"/>
          <w:spacing w:val="-6"/>
          <w:sz w:val="32"/>
          <w:szCs w:val="32"/>
          <w:lang w:val="en-US" w:eastAsia="zh-CN"/>
        </w:rPr>
        <w:fldChar w:fldCharType="separate"/>
      </w:r>
      <w:r>
        <w:rPr>
          <w:rFonts w:ascii="Times New Roman" w:hAnsi="Times New Roman" w:eastAsia="仿宋_GB2312" w:cs="仿宋_GB2312"/>
          <w:spacing w:val="-6"/>
          <w:sz w:val="32"/>
          <w:szCs w:val="32"/>
          <w:lang w:val="en-US" w:eastAsia="zh-CN"/>
        </w:rPr>
        <w:t xml:space="preserve">图 </w:t>
      </w:r>
      <w:r>
        <w:rPr>
          <w:rFonts w:ascii="Times New Roman" w:hAnsi="Times New Roman" w:eastAsia="仿宋_GB2312" w:cs="仿宋_GB2312"/>
          <w:spacing w:val="-6"/>
          <w:sz w:val="32"/>
          <w:szCs w:val="32"/>
        </w:rPr>
        <w:t xml:space="preserve">3 </w:t>
      </w:r>
      <w:r>
        <w:rPr>
          <w:rFonts w:ascii="Times New Roman" w:hAnsi="Times New Roman" w:eastAsia="仿宋_GB2312" w:cs="仿宋_GB2312"/>
          <w:spacing w:val="-6"/>
          <w:sz w:val="32"/>
          <w:szCs w:val="32"/>
          <w:lang w:val="en-US" w:eastAsia="zh-CN"/>
        </w:rPr>
        <w:t>学校开展全体教职员工师德师风培训</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_Toc29541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8</w:t>
      </w:r>
      <w:r>
        <w:rPr>
          <w:rFonts w:ascii="Times New Roman" w:hAnsi="Times New Roman" w:eastAsia="仿宋_GB2312" w:cs="仿宋_GB2312"/>
          <w:spacing w:val="-6"/>
          <w:sz w:val="32"/>
          <w:szCs w:val="32"/>
        </w:rPr>
        <w:fldChar w:fldCharType="end"/>
      </w:r>
      <w:r>
        <w:rPr>
          <w:rFonts w:hint="eastAsia" w:ascii="Times New Roman" w:hAnsi="Times New Roman" w:eastAsia="仿宋_GB2312" w:cs="仿宋_GB2312"/>
          <w:spacing w:val="-6"/>
          <w:sz w:val="32"/>
          <w:szCs w:val="32"/>
          <w:lang w:val="en-US" w:eastAsia="zh-CN"/>
        </w:rPr>
        <w:fldChar w:fldCharType="end"/>
      </w:r>
    </w:p>
    <w:p w14:paraId="1530B415">
      <w:pPr>
        <w:pStyle w:val="17"/>
        <w:tabs>
          <w:tab w:val="right" w:leader="dot" w:pos="8845"/>
        </w:tabs>
        <w:rPr>
          <w:rFonts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 HYPERLINK \l _Toc27069 </w:instrText>
      </w:r>
      <w:r>
        <w:rPr>
          <w:rFonts w:hint="eastAsia" w:ascii="Times New Roman" w:hAnsi="Times New Roman" w:eastAsia="仿宋_GB2312" w:cs="仿宋_GB2312"/>
          <w:spacing w:val="-6"/>
          <w:sz w:val="32"/>
          <w:szCs w:val="32"/>
          <w:lang w:val="en-US" w:eastAsia="zh-CN"/>
        </w:rPr>
        <w:fldChar w:fldCharType="separate"/>
      </w:r>
      <w:r>
        <w:rPr>
          <w:rFonts w:ascii="Times New Roman" w:hAnsi="Times New Roman" w:eastAsia="仿宋_GB2312" w:cs="仿宋_GB2312"/>
          <w:spacing w:val="-6"/>
          <w:sz w:val="32"/>
          <w:szCs w:val="32"/>
          <w:lang w:val="en-US" w:eastAsia="zh-CN"/>
        </w:rPr>
        <w:t xml:space="preserve">图 </w:t>
      </w:r>
      <w:r>
        <w:rPr>
          <w:rFonts w:ascii="Times New Roman" w:hAnsi="Times New Roman" w:eastAsia="仿宋_GB2312" w:cs="仿宋_GB2312"/>
          <w:spacing w:val="-6"/>
          <w:sz w:val="32"/>
          <w:szCs w:val="32"/>
        </w:rPr>
        <w:t xml:space="preserve">4 </w:t>
      </w:r>
      <w:r>
        <w:rPr>
          <w:rFonts w:hint="eastAsia" w:ascii="Times New Roman" w:hAnsi="Times New Roman" w:eastAsia="仿宋_GB2312" w:cs="仿宋_GB2312"/>
          <w:spacing w:val="-6"/>
          <w:sz w:val="32"/>
          <w:szCs w:val="32"/>
          <w:lang w:val="en-US" w:eastAsia="zh-CN"/>
        </w:rPr>
        <w:t>：</w:t>
      </w:r>
      <w:r>
        <w:rPr>
          <w:rFonts w:ascii="Times New Roman" w:hAnsi="Times New Roman" w:eastAsia="仿宋_GB2312" w:cs="仿宋_GB2312"/>
          <w:spacing w:val="-6"/>
          <w:sz w:val="32"/>
          <w:szCs w:val="32"/>
          <w:lang w:val="en-US" w:eastAsia="zh-CN"/>
        </w:rPr>
        <w:t>学校举办体育艺术节</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_Toc27069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10</w:t>
      </w:r>
      <w:r>
        <w:rPr>
          <w:rFonts w:ascii="Times New Roman" w:hAnsi="Times New Roman" w:eastAsia="仿宋_GB2312" w:cs="仿宋_GB2312"/>
          <w:spacing w:val="-6"/>
          <w:sz w:val="32"/>
          <w:szCs w:val="32"/>
        </w:rPr>
        <w:fldChar w:fldCharType="end"/>
      </w:r>
      <w:r>
        <w:rPr>
          <w:rFonts w:hint="eastAsia" w:ascii="Times New Roman" w:hAnsi="Times New Roman" w:eastAsia="仿宋_GB2312" w:cs="仿宋_GB2312"/>
          <w:spacing w:val="-6"/>
          <w:sz w:val="32"/>
          <w:szCs w:val="32"/>
          <w:lang w:val="en-US" w:eastAsia="zh-CN"/>
        </w:rPr>
        <w:fldChar w:fldCharType="end"/>
      </w:r>
    </w:p>
    <w:p w14:paraId="05A70C45">
      <w:pPr>
        <w:pStyle w:val="17"/>
        <w:tabs>
          <w:tab w:val="right" w:leader="dot" w:pos="8845"/>
        </w:tabs>
        <w:rPr>
          <w:rFonts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 HYPERLINK \l _Toc16610 </w:instrText>
      </w:r>
      <w:r>
        <w:rPr>
          <w:rFonts w:hint="eastAsia" w:ascii="Times New Roman" w:hAnsi="Times New Roman" w:eastAsia="仿宋_GB2312" w:cs="仿宋_GB2312"/>
          <w:spacing w:val="-6"/>
          <w:sz w:val="32"/>
          <w:szCs w:val="32"/>
          <w:lang w:val="en-US" w:eastAsia="zh-CN"/>
        </w:rPr>
        <w:fldChar w:fldCharType="separate"/>
      </w:r>
      <w:r>
        <w:rPr>
          <w:rFonts w:ascii="Times New Roman" w:hAnsi="Times New Roman" w:eastAsia="仿宋_GB2312" w:cs="仿宋_GB2312"/>
          <w:spacing w:val="-6"/>
          <w:sz w:val="32"/>
          <w:szCs w:val="32"/>
        </w:rPr>
        <w:t xml:space="preserve">图 5 </w:t>
      </w:r>
      <w:r>
        <w:rPr>
          <w:rFonts w:hint="eastAsia" w:ascii="Times New Roman" w:hAnsi="Times New Roman" w:eastAsia="仿宋_GB2312" w:cs="仿宋_GB2312"/>
          <w:spacing w:val="-6"/>
          <w:sz w:val="32"/>
          <w:szCs w:val="32"/>
          <w:lang w:eastAsia="zh-CN"/>
        </w:rPr>
        <w:t>：</w:t>
      </w:r>
      <w:r>
        <w:rPr>
          <w:rFonts w:ascii="Times New Roman" w:hAnsi="Times New Roman" w:eastAsia="仿宋_GB2312" w:cs="仿宋_GB2312"/>
          <w:spacing w:val="-6"/>
          <w:sz w:val="32"/>
          <w:szCs w:val="32"/>
          <w:lang w:val="en-US" w:eastAsia="zh-CN"/>
        </w:rPr>
        <w:t>学校学生志愿者到养老院参加志愿者活动</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_Toc16610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11</w:t>
      </w:r>
      <w:r>
        <w:rPr>
          <w:rFonts w:ascii="Times New Roman" w:hAnsi="Times New Roman" w:eastAsia="仿宋_GB2312" w:cs="仿宋_GB2312"/>
          <w:spacing w:val="-6"/>
          <w:sz w:val="32"/>
          <w:szCs w:val="32"/>
        </w:rPr>
        <w:fldChar w:fldCharType="end"/>
      </w:r>
      <w:r>
        <w:rPr>
          <w:rFonts w:hint="eastAsia" w:ascii="Times New Roman" w:hAnsi="Times New Roman" w:eastAsia="仿宋_GB2312" w:cs="仿宋_GB2312"/>
          <w:spacing w:val="-6"/>
          <w:sz w:val="32"/>
          <w:szCs w:val="32"/>
          <w:lang w:val="en-US" w:eastAsia="zh-CN"/>
        </w:rPr>
        <w:fldChar w:fldCharType="end"/>
      </w:r>
    </w:p>
    <w:p w14:paraId="65D57B5C">
      <w:pPr>
        <w:pStyle w:val="17"/>
        <w:tabs>
          <w:tab w:val="right" w:leader="dot" w:pos="8845"/>
        </w:tabs>
        <w:rPr>
          <w:rFonts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 HYPERLINK \l _Toc25112 </w:instrText>
      </w:r>
      <w:r>
        <w:rPr>
          <w:rFonts w:hint="eastAsia" w:ascii="Times New Roman" w:hAnsi="Times New Roman" w:eastAsia="仿宋_GB2312" w:cs="仿宋_GB2312"/>
          <w:spacing w:val="-6"/>
          <w:sz w:val="32"/>
          <w:szCs w:val="32"/>
          <w:lang w:val="en-US" w:eastAsia="zh-CN"/>
        </w:rPr>
        <w:fldChar w:fldCharType="separate"/>
      </w:r>
      <w:r>
        <w:rPr>
          <w:rFonts w:ascii="Times New Roman" w:hAnsi="Times New Roman" w:eastAsia="仿宋_GB2312" w:cs="仿宋_GB2312"/>
          <w:spacing w:val="-6"/>
          <w:sz w:val="32"/>
          <w:szCs w:val="32"/>
          <w:lang w:val="en-US" w:eastAsia="zh-CN"/>
        </w:rPr>
        <w:t xml:space="preserve">图 </w:t>
      </w:r>
      <w:r>
        <w:rPr>
          <w:rFonts w:ascii="Times New Roman" w:hAnsi="Times New Roman" w:eastAsia="仿宋_GB2312" w:cs="仿宋_GB2312"/>
          <w:spacing w:val="-6"/>
          <w:sz w:val="32"/>
          <w:szCs w:val="32"/>
        </w:rPr>
        <w:t xml:space="preserve">6 </w:t>
      </w:r>
      <w:r>
        <w:rPr>
          <w:rFonts w:hint="eastAsia" w:ascii="Times New Roman" w:hAnsi="Times New Roman" w:eastAsia="仿宋_GB2312" w:cs="仿宋_GB2312"/>
          <w:spacing w:val="-6"/>
          <w:sz w:val="32"/>
          <w:szCs w:val="32"/>
          <w:lang w:val="en-US" w:eastAsia="zh-CN"/>
        </w:rPr>
        <w:t>：</w:t>
      </w:r>
      <w:r>
        <w:rPr>
          <w:rFonts w:ascii="Times New Roman" w:hAnsi="Times New Roman" w:eastAsia="仿宋_GB2312" w:cs="仿宋_GB2312"/>
          <w:spacing w:val="-6"/>
          <w:sz w:val="32"/>
          <w:szCs w:val="32"/>
          <w:lang w:val="en-US" w:eastAsia="zh-CN"/>
        </w:rPr>
        <w:t>学校学生参加壮族＂三月三＂系列文化教育活动</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_Toc25112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14</w:t>
      </w:r>
      <w:r>
        <w:rPr>
          <w:rFonts w:ascii="Times New Roman" w:hAnsi="Times New Roman" w:eastAsia="仿宋_GB2312" w:cs="仿宋_GB2312"/>
          <w:spacing w:val="-6"/>
          <w:sz w:val="32"/>
          <w:szCs w:val="32"/>
        </w:rPr>
        <w:fldChar w:fldCharType="end"/>
      </w:r>
      <w:r>
        <w:rPr>
          <w:rFonts w:hint="eastAsia" w:ascii="Times New Roman" w:hAnsi="Times New Roman" w:eastAsia="仿宋_GB2312" w:cs="仿宋_GB2312"/>
          <w:spacing w:val="-6"/>
          <w:sz w:val="32"/>
          <w:szCs w:val="32"/>
          <w:lang w:val="en-US" w:eastAsia="zh-CN"/>
        </w:rPr>
        <w:fldChar w:fldCharType="end"/>
      </w:r>
    </w:p>
    <w:p w14:paraId="237F66B8">
      <w:pPr>
        <w:pStyle w:val="17"/>
        <w:tabs>
          <w:tab w:val="right" w:leader="dot" w:pos="8845"/>
        </w:tabs>
        <w:rPr>
          <w:rFonts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 HYPERLINK \l _Toc11168 </w:instrText>
      </w:r>
      <w:r>
        <w:rPr>
          <w:rFonts w:hint="eastAsia" w:ascii="Times New Roman" w:hAnsi="Times New Roman" w:eastAsia="仿宋_GB2312" w:cs="仿宋_GB2312"/>
          <w:spacing w:val="-6"/>
          <w:sz w:val="32"/>
          <w:szCs w:val="32"/>
          <w:lang w:val="en-US" w:eastAsia="zh-CN"/>
        </w:rPr>
        <w:fldChar w:fldCharType="separate"/>
      </w:r>
      <w:r>
        <w:rPr>
          <w:rFonts w:ascii="Times New Roman" w:hAnsi="Times New Roman" w:eastAsia="仿宋_GB2312" w:cs="仿宋_GB2312"/>
          <w:spacing w:val="-6"/>
          <w:sz w:val="32"/>
          <w:szCs w:val="32"/>
          <w:lang w:val="en-US" w:eastAsia="zh-CN"/>
        </w:rPr>
        <w:t xml:space="preserve">图 </w:t>
      </w:r>
      <w:r>
        <w:rPr>
          <w:rFonts w:ascii="Times New Roman" w:hAnsi="Times New Roman" w:eastAsia="仿宋_GB2312" w:cs="仿宋_GB2312"/>
          <w:spacing w:val="-6"/>
          <w:sz w:val="32"/>
          <w:szCs w:val="32"/>
        </w:rPr>
        <w:t xml:space="preserve">7 </w:t>
      </w:r>
      <w:r>
        <w:rPr>
          <w:rFonts w:hint="eastAsia" w:ascii="Times New Roman" w:hAnsi="Times New Roman" w:eastAsia="仿宋_GB2312" w:cs="仿宋_GB2312"/>
          <w:spacing w:val="-6"/>
          <w:sz w:val="32"/>
          <w:szCs w:val="32"/>
          <w:lang w:val="en-US" w:eastAsia="zh-CN"/>
        </w:rPr>
        <w:t>：</w:t>
      </w:r>
      <w:r>
        <w:rPr>
          <w:rFonts w:ascii="Times New Roman" w:hAnsi="Times New Roman" w:eastAsia="仿宋_GB2312" w:cs="仿宋_GB2312"/>
          <w:spacing w:val="-6"/>
          <w:sz w:val="32"/>
          <w:szCs w:val="32"/>
          <w:lang w:val="en-US" w:eastAsia="zh-CN"/>
        </w:rPr>
        <w:t>学生到广西民族大学参加区十四届武术项目比赛</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_Toc11168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15</w:t>
      </w:r>
      <w:r>
        <w:rPr>
          <w:rFonts w:ascii="Times New Roman" w:hAnsi="Times New Roman" w:eastAsia="仿宋_GB2312" w:cs="仿宋_GB2312"/>
          <w:spacing w:val="-6"/>
          <w:sz w:val="32"/>
          <w:szCs w:val="32"/>
        </w:rPr>
        <w:fldChar w:fldCharType="end"/>
      </w:r>
      <w:r>
        <w:rPr>
          <w:rFonts w:hint="eastAsia" w:ascii="Times New Roman" w:hAnsi="Times New Roman" w:eastAsia="仿宋_GB2312" w:cs="仿宋_GB2312"/>
          <w:spacing w:val="-6"/>
          <w:sz w:val="32"/>
          <w:szCs w:val="32"/>
          <w:lang w:val="en-US" w:eastAsia="zh-CN"/>
        </w:rPr>
        <w:fldChar w:fldCharType="end"/>
      </w:r>
    </w:p>
    <w:p w14:paraId="0B5BCDC8">
      <w:pPr>
        <w:pStyle w:val="17"/>
        <w:tabs>
          <w:tab w:val="right" w:leader="dot" w:pos="8845"/>
        </w:tabs>
        <w:rPr>
          <w:rFonts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lang w:val="en-US" w:eastAsia="zh-CN"/>
        </w:rPr>
        <w:fldChar w:fldCharType="begin"/>
      </w:r>
      <w:r>
        <w:rPr>
          <w:rFonts w:hint="eastAsia" w:ascii="Times New Roman" w:hAnsi="Times New Roman" w:eastAsia="仿宋_GB2312" w:cs="仿宋_GB2312"/>
          <w:spacing w:val="-6"/>
          <w:sz w:val="32"/>
          <w:szCs w:val="32"/>
          <w:lang w:val="en-US" w:eastAsia="zh-CN"/>
        </w:rPr>
        <w:instrText xml:space="preserve"> HYPERLINK \l _Toc4058 </w:instrText>
      </w:r>
      <w:r>
        <w:rPr>
          <w:rFonts w:hint="eastAsia" w:ascii="Times New Roman" w:hAnsi="Times New Roman" w:eastAsia="仿宋_GB2312" w:cs="仿宋_GB2312"/>
          <w:spacing w:val="-6"/>
          <w:sz w:val="32"/>
          <w:szCs w:val="32"/>
          <w:lang w:val="en-US" w:eastAsia="zh-CN"/>
        </w:rPr>
        <w:fldChar w:fldCharType="separate"/>
      </w:r>
      <w:r>
        <w:rPr>
          <w:rFonts w:ascii="Times New Roman" w:hAnsi="Times New Roman" w:eastAsia="仿宋_GB2312" w:cs="仿宋_GB2312"/>
          <w:spacing w:val="-6"/>
          <w:sz w:val="32"/>
          <w:szCs w:val="32"/>
          <w:lang w:val="en-US" w:eastAsia="zh-CN"/>
        </w:rPr>
        <w:t xml:space="preserve">图 </w:t>
      </w:r>
      <w:r>
        <w:rPr>
          <w:rFonts w:ascii="Times New Roman" w:hAnsi="Times New Roman" w:eastAsia="仿宋_GB2312" w:cs="仿宋_GB2312"/>
          <w:spacing w:val="-6"/>
          <w:sz w:val="32"/>
          <w:szCs w:val="32"/>
        </w:rPr>
        <w:t xml:space="preserve">8 </w:t>
      </w:r>
      <w:r>
        <w:rPr>
          <w:rFonts w:ascii="Times New Roman" w:hAnsi="Times New Roman" w:eastAsia="仿宋_GB2312" w:cs="仿宋_GB2312"/>
          <w:spacing w:val="-6"/>
          <w:sz w:val="32"/>
          <w:szCs w:val="32"/>
          <w:lang w:val="en-US" w:eastAsia="zh-CN"/>
        </w:rPr>
        <w:t>：广西交通技师学院专家组到校指导新能源汽车专业建设</w:t>
      </w:r>
      <w:r>
        <w:rPr>
          <w:rFonts w:ascii="Times New Roman" w:hAnsi="Times New Roman" w:eastAsia="仿宋_GB2312" w:cs="仿宋_GB2312"/>
          <w:spacing w:val="-6"/>
          <w:sz w:val="32"/>
          <w:szCs w:val="32"/>
        </w:rPr>
        <w:tab/>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PAGEREF _Toc4058 \h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16</w:t>
      </w:r>
      <w:r>
        <w:rPr>
          <w:rFonts w:ascii="Times New Roman" w:hAnsi="Times New Roman" w:eastAsia="仿宋_GB2312" w:cs="仿宋_GB2312"/>
          <w:spacing w:val="-6"/>
          <w:sz w:val="32"/>
          <w:szCs w:val="32"/>
        </w:rPr>
        <w:fldChar w:fldCharType="end"/>
      </w:r>
      <w:r>
        <w:rPr>
          <w:rFonts w:hint="eastAsia" w:ascii="Times New Roman" w:hAnsi="Times New Roman" w:eastAsia="仿宋_GB2312" w:cs="仿宋_GB2312"/>
          <w:spacing w:val="-6"/>
          <w:sz w:val="32"/>
          <w:szCs w:val="32"/>
          <w:lang w:val="en-US" w:eastAsia="zh-CN"/>
        </w:rPr>
        <w:fldChar w:fldCharType="end"/>
      </w:r>
    </w:p>
    <w:p w14:paraId="65EAC76E">
      <w:pPr>
        <w:pStyle w:val="24"/>
        <w:ind w:left="0" w:leftChars="0" w:firstLine="0" w:firstLineChars="0"/>
        <w:jc w:val="both"/>
        <w:rPr>
          <w:rFonts w:hint="eastAsia" w:ascii="方正小标宋简体" w:hAnsi="方正小标宋简体" w:eastAsia="方正小标宋简体" w:cs="方正小标宋简体"/>
          <w:b w:val="0"/>
          <w:bCs w:val="0"/>
          <w:spacing w:val="27"/>
          <w:sz w:val="44"/>
          <w:szCs w:val="44"/>
          <w:highlight w:val="none"/>
          <w:lang w:val="en-US" w:eastAsia="zh-CN"/>
        </w:rPr>
      </w:pPr>
      <w:r>
        <w:rPr>
          <w:rFonts w:hint="eastAsia" w:ascii="Times New Roman" w:hAnsi="Times New Roman" w:eastAsia="仿宋_GB2312" w:cs="仿宋_GB2312"/>
          <w:spacing w:val="-6"/>
          <w:sz w:val="32"/>
          <w:szCs w:val="32"/>
          <w:lang w:val="en-US" w:eastAsia="zh-CN"/>
        </w:rPr>
        <w:fldChar w:fldCharType="end"/>
      </w:r>
    </w:p>
    <w:p w14:paraId="2FDD91A3">
      <w:pPr>
        <w:pStyle w:val="24"/>
        <w:ind w:left="0" w:leftChars="0" w:firstLine="0" w:firstLineChars="0"/>
        <w:jc w:val="center"/>
        <w:rPr>
          <w:rFonts w:hint="eastAsia" w:asciiTheme="majorEastAsia" w:hAnsiTheme="majorEastAsia" w:eastAsiaTheme="majorEastAsia" w:cstheme="majorEastAsia"/>
          <w:b/>
          <w:bCs/>
          <w:spacing w:val="27"/>
          <w:sz w:val="32"/>
          <w:szCs w:val="32"/>
          <w:highlight w:val="none"/>
          <w:lang w:val="en-US" w:eastAsia="zh-CN"/>
        </w:rPr>
      </w:pPr>
      <w:r>
        <w:rPr>
          <w:rFonts w:hint="eastAsia" w:asciiTheme="majorEastAsia" w:hAnsiTheme="majorEastAsia" w:eastAsiaTheme="majorEastAsia" w:cstheme="majorEastAsia"/>
          <w:b/>
          <w:bCs/>
          <w:spacing w:val="27"/>
          <w:sz w:val="32"/>
          <w:szCs w:val="32"/>
          <w:highlight w:val="none"/>
          <w:lang w:val="en-US" w:eastAsia="zh-CN"/>
        </w:rPr>
        <w:t>案例目录</w:t>
      </w:r>
    </w:p>
    <w:p w14:paraId="32F8FBCC">
      <w:pPr>
        <w:pStyle w:val="17"/>
        <w:tabs>
          <w:tab w:val="right" w:leader="dot" w:pos="8845"/>
        </w:tabs>
        <w:rPr>
          <w:rFonts w:hint="default" w:ascii="Times New Roman" w:hAnsi="Times New Roman" w:eastAsia="仿宋_GB2312" w:cs="仿宋_GB2312"/>
          <w:spacing w:val="-6"/>
          <w:sz w:val="32"/>
          <w:szCs w:val="32"/>
          <w:lang w:val="en-US"/>
        </w:rPr>
      </w:pPr>
      <w:r>
        <w:rPr>
          <w:rFonts w:hint="eastAsia" w:ascii="Times New Roman" w:hAnsi="Times New Roman" w:eastAsia="仿宋_GB2312" w:cs="仿宋_GB2312"/>
          <w:spacing w:val="-6"/>
          <w:sz w:val="32"/>
          <w:szCs w:val="32"/>
          <w:lang w:eastAsia="zh-CN"/>
        </w:rPr>
        <w:fldChar w:fldCharType="begin"/>
      </w:r>
      <w:r>
        <w:rPr>
          <w:rFonts w:hint="eastAsia" w:ascii="Times New Roman" w:hAnsi="Times New Roman" w:eastAsia="仿宋_GB2312" w:cs="仿宋_GB2312"/>
          <w:spacing w:val="-6"/>
          <w:sz w:val="32"/>
          <w:szCs w:val="32"/>
          <w:lang w:eastAsia="zh-CN"/>
        </w:rPr>
        <w:instrText xml:space="preserve">TOC \h \c "案例"</w:instrText>
      </w:r>
      <w:r>
        <w:rPr>
          <w:rFonts w:hint="eastAsia" w:ascii="Times New Roman" w:hAnsi="Times New Roman" w:eastAsia="仿宋_GB2312" w:cs="仿宋_GB2312"/>
          <w:spacing w:val="-6"/>
          <w:sz w:val="32"/>
          <w:szCs w:val="32"/>
          <w:lang w:eastAsia="zh-CN"/>
        </w:rPr>
        <w:fldChar w:fldCharType="separate"/>
      </w:r>
      <w:r>
        <w:rPr>
          <w:rFonts w:hint="eastAsia" w:ascii="Times New Roman" w:hAnsi="Times New Roman" w:eastAsia="仿宋_GB2312" w:cs="仿宋_GB2312"/>
          <w:spacing w:val="-6"/>
          <w:sz w:val="32"/>
          <w:szCs w:val="32"/>
          <w:lang w:eastAsia="zh-CN"/>
        </w:rPr>
        <w:fldChar w:fldCharType="begin"/>
      </w:r>
      <w:r>
        <w:rPr>
          <w:rFonts w:hint="eastAsia" w:ascii="Times New Roman" w:hAnsi="Times New Roman" w:eastAsia="仿宋_GB2312" w:cs="仿宋_GB2312"/>
          <w:spacing w:val="-6"/>
          <w:sz w:val="32"/>
          <w:szCs w:val="32"/>
          <w:lang w:eastAsia="zh-CN"/>
        </w:rPr>
        <w:instrText xml:space="preserve"> HYPERLINK \l _Toc22352 </w:instrText>
      </w:r>
      <w:r>
        <w:rPr>
          <w:rFonts w:hint="eastAsia" w:ascii="Times New Roman" w:hAnsi="Times New Roman" w:eastAsia="仿宋_GB2312" w:cs="仿宋_GB2312"/>
          <w:spacing w:val="-6"/>
          <w:sz w:val="32"/>
          <w:szCs w:val="32"/>
          <w:lang w:eastAsia="zh-CN"/>
        </w:rPr>
        <w:fldChar w:fldCharType="separate"/>
      </w:r>
      <w:r>
        <w:rPr>
          <w:rFonts w:ascii="Times New Roman" w:hAnsi="Times New Roman" w:eastAsia="仿宋_GB2312" w:cs="仿宋_GB2312"/>
          <w:spacing w:val="-6"/>
          <w:sz w:val="32"/>
          <w:szCs w:val="32"/>
        </w:rPr>
        <w:t xml:space="preserve">案例 1 </w:t>
      </w:r>
      <w:r>
        <w:rPr>
          <w:rFonts w:hint="eastAsia" w:ascii="Times New Roman" w:hAnsi="Times New Roman" w:eastAsia="仿宋_GB2312" w:cs="仿宋_GB2312"/>
          <w:spacing w:val="-6"/>
          <w:sz w:val="32"/>
          <w:szCs w:val="32"/>
        </w:rPr>
        <w:t>【 开展</w:t>
      </w:r>
      <w:r>
        <w:rPr>
          <w:rFonts w:hint="eastAsia" w:ascii="Times New Roman" w:hAnsi="Times New Roman" w:eastAsia="仿宋_GB2312" w:cs="仿宋_GB2312"/>
          <w:spacing w:val="-6"/>
          <w:sz w:val="32"/>
          <w:szCs w:val="32"/>
          <w:lang w:val="en-US" w:eastAsia="zh-CN"/>
        </w:rPr>
        <w:t>班级导师制的实施</w:t>
      </w:r>
      <w:r>
        <w:rPr>
          <w:rFonts w:hint="eastAsia" w:ascii="Times New Roman" w:hAnsi="Times New Roman" w:eastAsia="仿宋_GB2312" w:cs="仿宋_GB2312"/>
          <w:spacing w:val="-6"/>
          <w:sz w:val="32"/>
          <w:szCs w:val="32"/>
        </w:rPr>
        <w:t>】</w:t>
      </w:r>
      <w:r>
        <w:rPr>
          <w:rFonts w:ascii="Times New Roman" w:hAnsi="Times New Roman" w:eastAsia="仿宋_GB2312" w:cs="仿宋_GB2312"/>
          <w:spacing w:val="-6"/>
          <w:sz w:val="32"/>
          <w:szCs w:val="32"/>
        </w:rPr>
        <w:tab/>
      </w:r>
      <w:r>
        <w:rPr>
          <w:rFonts w:hint="eastAsia" w:ascii="Times New Roman" w:hAnsi="Times New Roman" w:eastAsia="仿宋_GB2312" w:cs="仿宋_GB2312"/>
          <w:spacing w:val="-6"/>
          <w:sz w:val="32"/>
          <w:szCs w:val="32"/>
          <w:lang w:val="en-US" w:eastAsia="zh-CN"/>
        </w:rPr>
        <w:t>0</w:t>
      </w:r>
      <w:r>
        <w:rPr>
          <w:rFonts w:hint="eastAsia" w:ascii="Times New Roman" w:hAnsi="Times New Roman" w:eastAsia="仿宋_GB2312" w:cs="仿宋_GB2312"/>
          <w:spacing w:val="-6"/>
          <w:sz w:val="32"/>
          <w:szCs w:val="32"/>
          <w:lang w:eastAsia="zh-CN"/>
        </w:rPr>
        <w:fldChar w:fldCharType="end"/>
      </w:r>
      <w:r>
        <w:rPr>
          <w:rFonts w:hint="eastAsia" w:ascii="Times New Roman" w:hAnsi="Times New Roman" w:eastAsia="仿宋_GB2312" w:cs="仿宋_GB2312"/>
          <w:spacing w:val="-6"/>
          <w:sz w:val="32"/>
          <w:szCs w:val="32"/>
          <w:lang w:val="en-US" w:eastAsia="zh-CN"/>
        </w:rPr>
        <w:t>6</w:t>
      </w:r>
    </w:p>
    <w:p w14:paraId="7638E831">
      <w:pPr>
        <w:pStyle w:val="24"/>
        <w:ind w:left="0" w:leftChars="0" w:firstLine="0" w:firstLineChars="0"/>
        <w:jc w:val="center"/>
        <w:rPr>
          <w:rFonts w:hint="eastAsia" w:ascii="Times New Roman" w:hAnsi="Times New Roman" w:eastAsia="仿宋_GB2312" w:cs="仿宋_GB2312"/>
          <w:spacing w:val="-6"/>
          <w:sz w:val="32"/>
          <w:szCs w:val="32"/>
          <w:lang w:eastAsia="zh-CN"/>
        </w:rPr>
        <w:sectPr>
          <w:footerReference r:id="rId9" w:type="default"/>
          <w:footerReference r:id="rId10" w:type="even"/>
          <w:pgSz w:w="11906" w:h="16838"/>
          <w:pgMar w:top="1814" w:right="1474" w:bottom="1814" w:left="1587" w:header="851" w:footer="1417" w:gutter="0"/>
          <w:pgNumType w:fmt="decimal"/>
          <w:cols w:space="425" w:num="1"/>
          <w:docGrid w:type="linesAndChars" w:linePitch="579" w:charSpace="15"/>
        </w:sectPr>
      </w:pPr>
    </w:p>
    <w:p w14:paraId="52F32477">
      <w:pPr>
        <w:pStyle w:val="24"/>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baseline"/>
        <w:rPr>
          <w:rStyle w:val="31"/>
        </w:rPr>
      </w:pPr>
      <w:r>
        <w:rPr>
          <w:rFonts w:hint="eastAsia" w:ascii="Times New Roman" w:hAnsi="Times New Roman" w:eastAsia="仿宋_GB2312" w:cs="仿宋_GB2312"/>
          <w:spacing w:val="-6"/>
          <w:sz w:val="32"/>
          <w:szCs w:val="32"/>
          <w:lang w:eastAsia="zh-CN"/>
        </w:rPr>
        <w:fldChar w:fldCharType="end"/>
      </w:r>
      <mc:AlternateContent>
        <mc:Choice Requires="wpsCustomData">
          <wpsCustomData:docfieldStart id="2" docfieldname="标题_3" hidden="0" print="1" readonly="0" index="6"/>
        </mc:Choice>
      </mc:AlternateContent>
      <w:r>
        <w:rPr>
          <w:rStyle w:val="31"/>
        </w:rPr>
        <w:t>桂平市艺术学校</w:t>
      </w:r>
      <w:r>
        <w:rPr>
          <w:rStyle w:val="31"/>
        </w:rPr>
        <w:br w:type="textWrapping"/>
      </w:r>
      <w:r>
        <w:rPr>
          <w:rStyle w:val="31"/>
        </w:rPr>
        <w:t>中等职业教育质量年度报告（2025年度）</w:t>
      </w:r>
      <mc:AlternateContent>
        <mc:Choice Requires="wpsCustomData">
          <wpsCustomData:docfieldEnd id="2"/>
        </mc:Choice>
      </mc:AlternateContent>
    </w:p>
    <w:p w14:paraId="345ED013">
      <w:pPr>
        <w:pStyle w:val="12"/>
        <w:bidi w:val="0"/>
        <w:spacing w:beforeAutospacing="0" w:afterAutospacing="0" w:line="300" w:lineRule="exact"/>
      </w:pPr>
    </w:p>
    <w:p w14:paraId="2E55E869">
      <w:pPr>
        <w:pStyle w:val="2"/>
        <w:numPr>
          <w:ilvl w:val="0"/>
          <w:numId w:val="1"/>
        </w:numPr>
        <w:topLinePunct w:val="0"/>
        <w:ind w:left="0" w:leftChars="0" w:firstLine="640" w:firstLineChars="0"/>
        <w:rPr>
          <w:b w:val="0"/>
        </w:rPr>
      </w:pPr>
      <w:bookmarkStart w:id="3" w:name="_Toc20962"/>
      <w:r>
        <w:t>学校概况</w:t>
      </w:r>
      <w:bookmarkEnd w:id="3"/>
    </w:p>
    <w:p w14:paraId="3CF5383F">
      <w:pPr>
        <w:pStyle w:val="3"/>
        <w:numPr>
          <w:ilvl w:val="0"/>
          <w:numId w:val="2"/>
        </w:numPr>
        <w:topLinePunct w:val="0"/>
        <w:ind w:left="0" w:leftChars="0" w:firstLine="640" w:firstLineChars="0"/>
        <w:rPr>
          <w:rFonts w:hint="eastAsia" w:ascii="楷体_GB2312" w:hAnsi="楷体_GB2312" w:eastAsia="楷体_GB2312" w:cs="楷体_GB2312"/>
          <w:b w:val="0"/>
        </w:rPr>
      </w:pPr>
      <w:bookmarkStart w:id="4" w:name="_Toc12003"/>
      <w:r>
        <w:t>基本情况</w:t>
      </w:r>
      <w:bookmarkEnd w:id="4"/>
    </w:p>
    <w:p w14:paraId="349448B3">
      <w:pPr>
        <w:pStyle w:val="12"/>
      </w:pPr>
      <w:r>
        <w:t>桂平市艺术学校2015年经自治区教育厅备案、贵港市教育局批准成立，是一所以培养艺术类技术人才为主的全日制民办中等职业学校。学校按照《民办教育促进法》和《中等职业学校设置标准》的要求，严格执行国家的法律、法规，依法办学。学校高铁站校区位于桂平市高铁站旁，距离高铁站约500米，交通便利。学校占地80亩，总建筑面积5万多平方米，可容纳4500多名师生同时教学和生活。</w:t>
      </w:r>
    </w:p>
    <w:p w14:paraId="113C5311">
      <w:pPr>
        <w:bidi w:val="0"/>
        <w:spacing w:line="240" w:lineRule="auto"/>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922520" cy="3322320"/>
            <wp:effectExtent l="0" t="0" r="11430" b="11430"/>
            <wp:docPr id="2" name="图片 2" descr="学校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校环境"/>
                    <pic:cNvPicPr>
                      <a:picLocks noChangeAspect="1"/>
                    </pic:cNvPicPr>
                  </pic:nvPicPr>
                  <pic:blipFill>
                    <a:blip r:embed="rId15"/>
                    <a:stretch>
                      <a:fillRect/>
                    </a:stretch>
                  </pic:blipFill>
                  <pic:spPr>
                    <a:xfrm>
                      <a:off x="0" y="0"/>
                      <a:ext cx="4922520" cy="3322320"/>
                    </a:xfrm>
                    <a:prstGeom prst="rect">
                      <a:avLst/>
                    </a:prstGeom>
                  </pic:spPr>
                </pic:pic>
              </a:graphicData>
            </a:graphic>
          </wp:inline>
        </w:drawing>
      </w:r>
    </w:p>
    <w:p w14:paraId="7E2568EE">
      <w:pPr>
        <w:pStyle w:val="11"/>
        <w:jc w:val="center"/>
      </w:pPr>
      <w:r>
        <w:rPr>
          <w:rFonts w:ascii="Times New Roman" w:hAnsi="Times New Roman" w:eastAsia="仿宋_GB2312" w:cs="仿宋_GB2312"/>
          <w:spacing w:val="-6"/>
          <w:sz w:val="32"/>
          <w:szCs w:val="32"/>
        </w:rPr>
        <w:t xml:space="preserve">图 </w:t>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SEQ 图 \* ARABIC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1</w:t>
      </w:r>
      <w:r>
        <w:rPr>
          <w:rFonts w:ascii="Times New Roman" w:hAnsi="Times New Roman" w:eastAsia="仿宋_GB2312" w:cs="仿宋_GB2312"/>
          <w:spacing w:val="-6"/>
          <w:sz w:val="32"/>
          <w:szCs w:val="32"/>
        </w:rPr>
        <w:fldChar w:fldCharType="end"/>
      </w:r>
      <w:bookmarkStart w:id="5" w:name="_Toc5488"/>
      <w:bookmarkStart w:id="6" w:name="_Toc8550"/>
      <w:bookmarkStart w:id="7" w:name="_Toc30270"/>
      <w:bookmarkStart w:id="8" w:name="_Toc2373"/>
      <w:r>
        <w:rPr>
          <w:rFonts w:ascii="Times New Roman" w:hAnsi="Times New Roman" w:eastAsia="仿宋_GB2312" w:cs="仿宋_GB2312"/>
          <w:spacing w:val="-6"/>
          <w:sz w:val="32"/>
          <w:szCs w:val="32"/>
        </w:rPr>
        <w:t>：学校校园环境图</w:t>
      </w:r>
      <w:bookmarkEnd w:id="5"/>
      <w:bookmarkEnd w:id="6"/>
      <w:bookmarkEnd w:id="7"/>
      <w:bookmarkEnd w:id="8"/>
    </w:p>
    <w:p w14:paraId="7840A154">
      <w:pPr>
        <w:pStyle w:val="12"/>
      </w:pPr>
      <w:r>
        <w:t>办学宗旨：坚持以服务为宗旨，以需求为导向，以能力为本位，培养德智体美全面发展的实用型艺术和技术人才。办学定位：全日制中等职业学历教育，培养美术绘画和工艺美术的艺术人才，直接为地方文化艺术类产业经济建设培养实用型专业人才。办学特色：学校实行＂升学＋就业＂双通道模式。办学成效：学校连续多年获桂平市高中阶段教育质量一等奖，2025年毕业生就业满意度达93.38％。</w:t>
      </w:r>
    </w:p>
    <w:p w14:paraId="46EF96BC">
      <w:pPr>
        <w:pStyle w:val="3"/>
        <w:numPr>
          <w:ilvl w:val="0"/>
          <w:numId w:val="2"/>
        </w:numPr>
        <w:topLinePunct w:val="0"/>
        <w:ind w:left="0" w:leftChars="0" w:firstLine="640" w:firstLineChars="0"/>
        <w:rPr>
          <w:rFonts w:hint="eastAsia" w:ascii="楷体_GB2312" w:hAnsi="楷体_GB2312" w:eastAsia="楷体_GB2312" w:cs="楷体_GB2312"/>
          <w:b w:val="0"/>
        </w:rPr>
      </w:pPr>
      <w:bookmarkStart w:id="9" w:name="_Toc20883"/>
      <w:r>
        <w:t>专业设置</w:t>
      </w:r>
      <w:bookmarkEnd w:id="9"/>
    </w:p>
    <w:p w14:paraId="4B0919A7">
      <w:pPr>
        <w:pStyle w:val="12"/>
      </w:pPr>
      <w:r>
        <w:t>2025年学校加快推进专业建设动态调整机制，促进学校专业群内资源整合共享，围绕核心岗位的工作领域，系统设计课程体系和课程群和着力建设多个专业彼此联系、相互渗透、群内共享开放的教学资源；加强专业群建设管理，完成建立健全专业群建设和管理相关制度。</w:t>
      </w:r>
    </w:p>
    <w:p w14:paraId="685A5A5E">
      <w:pPr>
        <w:pStyle w:val="12"/>
      </w:pPr>
      <w:r>
        <w:t>学校目前设有八大热门专业，形成艺术高考班、对口升学和直接就业班三大方向。学校主要开设有：绘画、戏曲表演、运动训练、现代家政服务与管理、计算机平面设计、艺术设计与制作、新能源汽车运用与维修和中餐烹饪8个专业；其中2025年新增中餐烹饪。</w:t>
      </w:r>
    </w:p>
    <w:p w14:paraId="4AA2DBC5">
      <w:pPr>
        <w:pStyle w:val="3"/>
        <w:numPr>
          <w:ilvl w:val="0"/>
          <w:numId w:val="2"/>
        </w:numPr>
        <w:topLinePunct w:val="0"/>
        <w:ind w:left="0" w:leftChars="0" w:firstLine="640" w:firstLineChars="0"/>
        <w:rPr>
          <w:rFonts w:hint="eastAsia" w:ascii="楷体_GB2312" w:hAnsi="楷体_GB2312" w:eastAsia="楷体_GB2312" w:cs="楷体_GB2312"/>
          <w:b w:val="0"/>
        </w:rPr>
      </w:pPr>
      <w:bookmarkStart w:id="10" w:name="_Toc13152"/>
      <w:r>
        <w:t>师资队伍</w:t>
      </w:r>
      <w:bookmarkEnd w:id="10"/>
    </w:p>
    <w:p w14:paraId="1D97EECB">
      <w:pPr>
        <w:pStyle w:val="12"/>
      </w:pPr>
      <w:r>
        <w:t>学校现有教职工85人，专任教师60人，生师比为19.08：1，专任教师本科以上学历比例为87％，高级专业技能人才比例为 54％。学校下一步将加大专任教师队伍和“双师型”教师队伍的建设；争取2026年年底办学条件达标建设的目标达成。</w:t>
      </w:r>
    </w:p>
    <w:p w14:paraId="3EA106B1">
      <w:pPr>
        <w:pStyle w:val="3"/>
        <w:numPr>
          <w:ilvl w:val="0"/>
          <w:numId w:val="2"/>
        </w:numPr>
        <w:topLinePunct w:val="0"/>
        <w:ind w:left="0" w:leftChars="0" w:firstLine="640" w:firstLineChars="0"/>
        <w:rPr>
          <w:rFonts w:hint="eastAsia" w:ascii="楷体_GB2312" w:hAnsi="楷体_GB2312" w:eastAsia="楷体_GB2312" w:cs="楷体_GB2312"/>
          <w:b w:val="0"/>
        </w:rPr>
      </w:pPr>
      <w:bookmarkStart w:id="11" w:name="_Toc2960"/>
      <w:r>
        <w:t>学生规模</w:t>
      </w:r>
      <w:bookmarkEnd w:id="11"/>
    </w:p>
    <w:p w14:paraId="35080B3B">
      <w:pPr>
        <w:pStyle w:val="12"/>
      </w:pPr>
      <w:r>
        <w:t>2025年度，学校在校生1145人；其中艺术高考班学生占比较大。学校对口升学、高考升学、直接就业等多种办学模式，满足不同学生的成长需求。2025年毕业生</w:t>
      </w:r>
      <w:r>
        <w:rPr>
          <w:rFonts w:hint="eastAsia"/>
          <w:lang w:val="en-US" w:eastAsia="zh-CN"/>
        </w:rPr>
        <w:t>407</w:t>
      </w:r>
      <w:r>
        <w:t>人；2025年秋季学期招收新生510 人。</w:t>
      </w:r>
    </w:p>
    <w:p w14:paraId="611B9520">
      <w:pPr>
        <w:pStyle w:val="3"/>
        <w:numPr>
          <w:ilvl w:val="0"/>
          <w:numId w:val="2"/>
        </w:numPr>
        <w:topLinePunct w:val="0"/>
        <w:ind w:left="0" w:leftChars="0" w:firstLine="640" w:firstLineChars="0"/>
        <w:rPr>
          <w:rFonts w:hint="eastAsia" w:ascii="楷体_GB2312" w:hAnsi="楷体_GB2312" w:eastAsia="楷体_GB2312" w:cs="楷体_GB2312"/>
          <w:b w:val="0"/>
        </w:rPr>
      </w:pPr>
      <w:bookmarkStart w:id="12" w:name="_Toc14501"/>
      <w:r>
        <w:t>办学条件</w:t>
      </w:r>
      <w:bookmarkEnd w:id="12"/>
    </w:p>
    <w:p w14:paraId="1C0F4369">
      <w:pPr>
        <w:pStyle w:val="12"/>
      </w:pPr>
      <w:r>
        <w:t>桂平市艺术学校高铁站校区于2022年9月投入使用，学校占地面积 51486平方米（约80亩），校园占地面积51486平方米，生均用地面积44.97方米／生；学校建筑面积50498平方米，生均校舍建筑面积44.10平方米／生。目前学校用于教学、实习仪器设备价值458.08万元；生均仪器设备值4000元／生；目前学校有纸质图书47105册；生均图书42.19册／生。</w:t>
      </w:r>
    </w:p>
    <w:p w14:paraId="740E846B">
      <w:pPr>
        <w:pStyle w:val="12"/>
      </w:pPr>
      <w:r>
        <w:rPr>
          <w:rStyle w:val="30"/>
        </w:rPr>
        <w:t>教学设施</w:t>
      </w:r>
      <w:r>
        <w:t>：教室配备空调、智能多媒体黑板、多媒体教学设备；校内具有标准的篮球场、排球场、羽毛球场、乒乓球场。实训条件：建有计算机实训室、烹饪专业实训室、美术绘画实训室、舞蹈专业实训室、音乐专业琴房实训室、广告设计与传媒直播实训室、机器人专业实训室等专业实训场所。生活设施：学生公寓设有空调、洗衣机、两间独立卫生间、洗漱间、冷热水系统；校园食堂菜色丰富、物美价廉，实施智能化校园管理模式，配备校园一卡通系统。</w:t>
      </w:r>
    </w:p>
    <w:p w14:paraId="62C86FE0">
      <w:pPr>
        <w:pStyle w:val="2"/>
        <w:numPr>
          <w:ilvl w:val="0"/>
          <w:numId w:val="1"/>
        </w:numPr>
        <w:topLinePunct w:val="0"/>
        <w:ind w:left="0" w:leftChars="0" w:firstLine="640" w:firstLineChars="0"/>
        <w:rPr>
          <w:b w:val="0"/>
        </w:rPr>
      </w:pPr>
      <w:bookmarkStart w:id="13" w:name="_Toc17704"/>
      <w:r>
        <w:t>人才培养</w:t>
      </w:r>
      <w:bookmarkEnd w:id="13"/>
    </w:p>
    <w:p w14:paraId="58753FA9">
      <w:pPr>
        <w:pStyle w:val="3"/>
        <w:numPr>
          <w:ilvl w:val="0"/>
          <w:numId w:val="3"/>
        </w:numPr>
        <w:topLinePunct w:val="0"/>
        <w:ind w:left="0" w:leftChars="0" w:firstLine="640" w:firstLineChars="0"/>
        <w:rPr>
          <w:rFonts w:hint="eastAsia" w:ascii="楷体_GB2312" w:hAnsi="楷体_GB2312" w:eastAsia="楷体_GB2312" w:cs="楷体_GB2312"/>
          <w:b w:val="0"/>
        </w:rPr>
      </w:pPr>
      <w:bookmarkStart w:id="14" w:name="_Toc1614"/>
      <w:r>
        <w:t>立德树人</w:t>
      </w:r>
      <w:bookmarkEnd w:id="14"/>
    </w:p>
    <w:p w14:paraId="3BDC2B13">
      <w:pPr>
        <w:pStyle w:val="12"/>
      </w:pPr>
      <w:r>
        <w:t>学校坚持以习近平新时代中国特色社会主义思想为指导，认真贯彻落实习近平总书记对职业教育工作的重要指示和全国职业教育大会精神。学校建立中共桂平市艺术学校党支部委员会，定期组织参观黄日葵纪念馆、祭拜先烈活动等红色教育活动，强化思想政治引领。学校注重学生综合素质培养，开展资助主题演讲比赛、红歌合唱朗诵比赛等活动，丰富校园文化生活。</w:t>
      </w:r>
    </w:p>
    <w:p w14:paraId="6CA57556">
      <w:pPr>
        <w:bidi w:val="0"/>
        <w:spacing w:line="240" w:lineRule="auto"/>
        <w:rPr>
          <w:rFonts w:ascii="Times New Roman" w:hAnsi="Times New Roman" w:eastAsia="仿宋_GB2312" w:cs="仿宋_GB2312"/>
          <w:spacing w:val="-6"/>
          <w:sz w:val="32"/>
          <w:szCs w:val="32"/>
        </w:rPr>
      </w:pPr>
      <w:r>
        <w:rPr>
          <w:rFonts w:hint="eastAsia" w:ascii="仿宋" w:hAnsi="仿宋" w:eastAsia="仿宋" w:cs="仿宋"/>
          <w:sz w:val="32"/>
          <w:szCs w:val="32"/>
          <w:lang w:val="en-US" w:eastAsia="zh-CN"/>
        </w:rPr>
        <w:drawing>
          <wp:inline distT="0" distB="0" distL="114300" distR="114300">
            <wp:extent cx="5610860" cy="3740785"/>
            <wp:effectExtent l="0" t="0" r="8890" b="12065"/>
            <wp:docPr id="9" name="图片 9" descr="2025.06.19 红色歌曲合唱暨朗诵比赛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5.06.19 红色歌曲合唱暨朗诵比赛  (1)"/>
                    <pic:cNvPicPr>
                      <a:picLocks noChangeAspect="1"/>
                    </pic:cNvPicPr>
                  </pic:nvPicPr>
                  <pic:blipFill>
                    <a:blip r:embed="rId16"/>
                    <a:stretch>
                      <a:fillRect/>
                    </a:stretch>
                  </pic:blipFill>
                  <pic:spPr>
                    <a:xfrm>
                      <a:off x="0" y="0"/>
                      <a:ext cx="5610860" cy="3740785"/>
                    </a:xfrm>
                    <a:prstGeom prst="rect">
                      <a:avLst/>
                    </a:prstGeom>
                  </pic:spPr>
                </pic:pic>
              </a:graphicData>
            </a:graphic>
          </wp:inline>
        </w:drawing>
      </w:r>
    </w:p>
    <w:p w14:paraId="784DA7E4">
      <w:pPr>
        <w:pStyle w:val="11"/>
        <w:jc w:val="center"/>
        <w:rPr>
          <w:rFonts w:ascii="Times New Roman" w:hAnsi="Times New Roman" w:eastAsia="仿宋_GB2312" w:cs="仿宋_GB2312"/>
          <w:spacing w:val="-6"/>
          <w:sz w:val="32"/>
          <w:szCs w:val="32"/>
        </w:rPr>
      </w:pPr>
      <w:r>
        <w:rPr>
          <w:rFonts w:ascii="Times New Roman" w:hAnsi="Times New Roman" w:eastAsia="仿宋_GB2312" w:cs="仿宋_GB2312"/>
          <w:spacing w:val="-6"/>
          <w:sz w:val="32"/>
          <w:szCs w:val="32"/>
        </w:rPr>
        <w:t xml:space="preserve">图 </w:t>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SEQ 图 \* ARABIC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2</w:t>
      </w:r>
      <w:r>
        <w:rPr>
          <w:rFonts w:ascii="Times New Roman" w:hAnsi="Times New Roman" w:eastAsia="仿宋_GB2312" w:cs="仿宋_GB2312"/>
          <w:spacing w:val="-6"/>
          <w:sz w:val="32"/>
          <w:szCs w:val="32"/>
        </w:rPr>
        <w:fldChar w:fldCharType="end"/>
      </w:r>
      <w:bookmarkStart w:id="15" w:name="_Toc12975"/>
      <w:bookmarkStart w:id="16" w:name="_Toc27767"/>
      <w:bookmarkStart w:id="17" w:name="_Toc19866"/>
      <w:r>
        <w:rPr>
          <w:rFonts w:hint="eastAsia" w:ascii="Times New Roman" w:hAnsi="Times New Roman" w:eastAsia="仿宋_GB2312" w:cs="仿宋_GB2312"/>
          <w:spacing w:val="-6"/>
          <w:sz w:val="32"/>
          <w:szCs w:val="32"/>
          <w:lang w:eastAsia="zh-CN"/>
        </w:rPr>
        <w:t>：</w:t>
      </w:r>
      <w:r>
        <w:rPr>
          <w:rFonts w:ascii="Times New Roman" w:hAnsi="Times New Roman" w:eastAsia="仿宋_GB2312" w:cs="仿宋_GB2312"/>
          <w:spacing w:val="-6"/>
          <w:sz w:val="32"/>
          <w:szCs w:val="32"/>
        </w:rPr>
        <w:t>学校举办红色歌曲合唱暨朗诵比赛</w:t>
      </w:r>
      <w:bookmarkEnd w:id="15"/>
      <w:bookmarkEnd w:id="16"/>
      <w:bookmarkEnd w:id="17"/>
    </w:p>
    <w:p w14:paraId="22057277">
      <w:pPr>
        <w:pStyle w:val="12"/>
      </w:pPr>
      <w:r>
        <w:t>学校夯实德育课程教育主阵地，积极培育和践行社会主义核心价值观，坚持以育人为本、德育为先、能力为重、全面发展， 把立德树人作为教育的根本任务，自觉遵循教育教学规律和人才成长规律，切实把学生的思想品德和职业道德教育放在教育教学工作的首位常抓不懈。</w:t>
      </w:r>
    </w:p>
    <w:p w14:paraId="0BC8983C">
      <w:pPr>
        <w:pStyle w:val="12"/>
        <w:numPr>
          <w:ilvl w:val="0"/>
          <w:numId w:val="4"/>
        </w:numPr>
        <w:topLinePunct w:val="0"/>
        <w:ind w:left="0" w:leftChars="0" w:firstLine="616" w:firstLineChars="0"/>
        <w:rPr>
          <w:rFonts w:hint="eastAsia" w:ascii="仿宋_GB2312" w:hAnsi="仿宋_GB2312" w:eastAsia="仿宋_GB2312" w:cs="仿宋_GB2312"/>
          <w:b w:val="0"/>
        </w:rPr>
      </w:pPr>
      <w:r>
        <w:rPr>
          <w:rStyle w:val="30"/>
        </w:rPr>
        <w:t>制定德育工作实施方案，建立党组织主导、校长负责、 群团组织参与、家庭社会联动的德育工作机制</w:t>
      </w:r>
      <w:r>
        <w:t>。学校建立德育工作相关机制、制定工作方案，落实德育工作经费、人员、场地等。</w:t>
      </w:r>
    </w:p>
    <w:p w14:paraId="0B5118E3">
      <w:pPr>
        <w:pStyle w:val="12"/>
        <w:numPr>
          <w:ilvl w:val="0"/>
          <w:numId w:val="4"/>
        </w:numPr>
        <w:topLinePunct w:val="0"/>
        <w:ind w:left="0" w:leftChars="0" w:firstLine="616" w:firstLineChars="0"/>
        <w:rPr>
          <w:rFonts w:hint="eastAsia" w:ascii="仿宋_GB2312" w:hAnsi="仿宋_GB2312" w:eastAsia="仿宋_GB2312" w:cs="仿宋_GB2312"/>
          <w:b w:val="0"/>
        </w:rPr>
      </w:pPr>
      <w:r>
        <w:rPr>
          <w:rStyle w:val="30"/>
        </w:rPr>
        <w:t>课程育人，促进学生健康成长</w:t>
      </w:r>
      <w:r>
        <w:t>。提高开足开齐德育课 程 ，把德育渗透于教育教学的各个环节，不断拓展育人途径。</w:t>
      </w:r>
    </w:p>
    <w:p w14:paraId="50FEA10A">
      <w:pPr>
        <w:pStyle w:val="12"/>
        <w:numPr>
          <w:ilvl w:val="0"/>
          <w:numId w:val="4"/>
        </w:numPr>
        <w:topLinePunct w:val="0"/>
        <w:ind w:left="0" w:leftChars="0" w:firstLine="616" w:firstLineChars="0"/>
        <w:rPr>
          <w:rFonts w:hint="eastAsia" w:ascii="仿宋_GB2312" w:hAnsi="仿宋_GB2312" w:eastAsia="仿宋_GB2312" w:cs="仿宋_GB2312"/>
          <w:b w:val="0"/>
        </w:rPr>
      </w:pPr>
      <w:r>
        <w:rPr>
          <w:rStyle w:val="30"/>
        </w:rPr>
        <w:t>活动育人，提高学生综合素质</w:t>
      </w:r>
      <w:r>
        <w:t>。注重加强学生活动开 展，引导学生自我发展、自我管理。通过开展丰富多彩的校园活动，为学生提供展示自我的舞台，让学生充分发挥自己的兴趣爱好和个性特长，增强了学生的自信心，促进了学生社会主义核心价值观的形成</w:t>
      </w:r>
      <w:r>
        <w:rPr>
          <w:spacing wpsCustomData:val="-6" w:val="-2"/>
        </w:rPr>
        <w:t>，促进了学生的发展与成长；提高了学校的社会服务能力和</w:t>
      </w:r>
      <w:r>
        <w:rPr>
          <w:spacing wpsCustomData:val="-6" w:val="-6"/>
        </w:rPr>
        <w:t>影</w:t>
      </w:r>
      <w:r>
        <w:t>响力。</w:t>
      </w:r>
    </w:p>
    <w:p w14:paraId="601281D7">
      <w:pPr>
        <w:pStyle w:val="12"/>
        <w:numPr>
          <w:ilvl w:val="0"/>
          <w:numId w:val="4"/>
        </w:numPr>
        <w:topLinePunct w:val="0"/>
        <w:ind w:left="0" w:leftChars="0" w:firstLine="616" w:firstLineChars="0"/>
        <w:rPr>
          <w:rFonts w:hint="eastAsia" w:ascii="仿宋_GB2312" w:hAnsi="仿宋_GB2312" w:eastAsia="仿宋_GB2312" w:cs="仿宋_GB2312"/>
          <w:b w:val="0"/>
        </w:rPr>
      </w:pPr>
      <w:r>
        <w:rPr>
          <w:rStyle w:val="30"/>
        </w:rPr>
        <w:t>学校开展心理健康教育活动</w:t>
      </w:r>
      <w:r>
        <w:t>。设置有心理咨询办公室， 配备一名兼职心理健康教育专职教师， 专职教师具备心理学或相关专业专科及以上学历。规范建立共青团组织，积极开展党团组织活动和主题教育活动等把爱国主义内容融入活动中。学校按规定建立共青团组织并开展相应活动。校园文化健康向上，符合社会主义核心价值观。</w:t>
      </w:r>
    </w:p>
    <w:p w14:paraId="181C81C3">
      <w:pPr>
        <w:pStyle w:val="12"/>
      </w:pPr>
      <w:r>
        <w:t>2.4.5学校实施班级导师制。调动学校全体教职工教书育人的积极性，创新个性化、亲情化的“全员育人、全面育人、全程育人、全方位育人”的德育教育模式，坚持以学生发展为本，结合特殊群体学生德育工作实际，对学生进行“思想品德、学习方法、心理成长、情感生活、个性特长”等多方面的关注与培养，增强教育的针对性和实效性，促进每一个学生的全面健康发展。</w:t>
      </w:r>
    </w:p>
    <w:p w14:paraId="28FA9AA5">
      <w:pPr>
        <w:pStyle w:val="11"/>
        <w:keepNext w:val="0"/>
        <w:keepLines w:val="0"/>
        <w:pageBreakBefore w:val="0"/>
        <w:widowControl w:val="0"/>
        <w:kinsoku/>
        <w:wordWrap/>
        <w:overflowPunct/>
        <w:topLinePunct w:val="0"/>
        <w:autoSpaceDE/>
        <w:autoSpaceDN/>
        <w:bidi w:val="0"/>
        <w:adjustRightInd/>
        <w:snapToGrid/>
        <w:spacing w:line="560" w:lineRule="exact"/>
        <w:ind w:firstLine="616" w:firstLineChars="200"/>
        <w:jc w:val="center"/>
        <w:textAlignment w:val="auto"/>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pacing w:val="-6"/>
          <w:sz w:val="32"/>
          <w:szCs w:val="32"/>
        </w:rPr>
        <w:t xml:space="preserve">案例 </w:t>
      </w:r>
      <w:r>
        <w:rPr>
          <w:rFonts w:hint="eastAsia" w:asciiTheme="majorEastAsia" w:hAnsiTheme="majorEastAsia" w:eastAsiaTheme="majorEastAsia" w:cstheme="majorEastAsia"/>
          <w:spacing w:val="-6"/>
          <w:sz w:val="32"/>
          <w:szCs w:val="32"/>
        </w:rPr>
        <w:fldChar w:fldCharType="begin"/>
      </w:r>
      <w:r>
        <w:rPr>
          <w:rFonts w:hint="eastAsia" w:asciiTheme="majorEastAsia" w:hAnsiTheme="majorEastAsia" w:eastAsiaTheme="majorEastAsia" w:cstheme="majorEastAsia"/>
          <w:spacing w:val="-6"/>
          <w:sz w:val="32"/>
          <w:szCs w:val="32"/>
        </w:rPr>
        <w:instrText xml:space="preserve"> SEQ 案例 \* ARABIC </w:instrText>
      </w:r>
      <w:r>
        <w:rPr>
          <w:rFonts w:hint="eastAsia" w:asciiTheme="majorEastAsia" w:hAnsiTheme="majorEastAsia" w:eastAsiaTheme="majorEastAsia" w:cstheme="majorEastAsia"/>
          <w:spacing w:val="-6"/>
          <w:sz w:val="32"/>
          <w:szCs w:val="32"/>
        </w:rPr>
        <w:fldChar w:fldCharType="separate"/>
      </w:r>
      <w:r>
        <w:rPr>
          <w:rFonts w:hint="eastAsia" w:asciiTheme="majorEastAsia" w:hAnsiTheme="majorEastAsia" w:eastAsiaTheme="majorEastAsia" w:cstheme="majorEastAsia"/>
          <w:spacing w:val="-6"/>
          <w:sz w:val="32"/>
          <w:szCs w:val="32"/>
        </w:rPr>
        <w:t>1</w:t>
      </w:r>
      <w:r>
        <w:rPr>
          <w:rFonts w:hint="eastAsia" w:asciiTheme="majorEastAsia" w:hAnsiTheme="majorEastAsia" w:eastAsiaTheme="majorEastAsia" w:cstheme="majorEastAsia"/>
          <w:spacing w:val="-6"/>
          <w:sz w:val="32"/>
          <w:szCs w:val="32"/>
        </w:rPr>
        <w:fldChar w:fldCharType="end"/>
      </w:r>
      <w:bookmarkStart w:id="18" w:name="_bookmark11"/>
      <w:bookmarkEnd w:id="18"/>
      <w:bookmarkStart w:id="19" w:name="_Toc22352"/>
      <w:r>
        <w:rPr>
          <w:rFonts w:hint="eastAsia" w:asciiTheme="majorEastAsia" w:hAnsiTheme="majorEastAsia" w:eastAsiaTheme="majorEastAsia" w:cstheme="majorEastAsia"/>
          <w:spacing w:val="-6"/>
          <w:sz w:val="32"/>
          <w:szCs w:val="32"/>
        </w:rPr>
        <w:t>【 开展</w:t>
      </w:r>
      <w:r>
        <w:rPr>
          <w:rFonts w:hint="eastAsia" w:asciiTheme="majorEastAsia" w:hAnsiTheme="majorEastAsia" w:eastAsiaTheme="majorEastAsia" w:cstheme="majorEastAsia"/>
          <w:spacing w:val="-6"/>
          <w:sz w:val="32"/>
          <w:szCs w:val="32"/>
          <w:lang w:val="en-US" w:eastAsia="zh-CN"/>
        </w:rPr>
        <w:t>班级导师制</w:t>
      </w:r>
      <w:r>
        <w:rPr>
          <w:rFonts w:hint="eastAsia" w:asciiTheme="majorEastAsia" w:hAnsiTheme="majorEastAsia" w:eastAsiaTheme="majorEastAsia" w:cstheme="majorEastAsia"/>
          <w:sz w:val="32"/>
          <w:szCs w:val="32"/>
          <w:lang w:val="en-US" w:eastAsia="zh-CN"/>
        </w:rPr>
        <w:t>的实施</w:t>
      </w:r>
      <w:r>
        <w:rPr>
          <w:rFonts w:hint="eastAsia" w:asciiTheme="majorEastAsia" w:hAnsiTheme="majorEastAsia" w:eastAsiaTheme="majorEastAsia" w:cstheme="majorEastAsia"/>
          <w:sz w:val="32"/>
          <w:szCs w:val="32"/>
        </w:rPr>
        <w:t>】</w:t>
      </w:r>
      <w:bookmarkEnd w:id="19"/>
    </w:p>
    <w:p w14:paraId="73F894DD">
      <w:pPr>
        <w:pStyle w:val="12"/>
        <w:rPr>
          <w:rFonts w:hint="eastAsia" w:ascii="楷体" w:hAnsi="楷体" w:eastAsia="楷体" w:cs="楷体"/>
        </w:rPr>
      </w:pPr>
      <w:r>
        <w:rPr>
          <w:rFonts w:hint="eastAsia" w:ascii="楷体" w:hAnsi="楷体" w:eastAsia="楷体" w:cs="楷体"/>
        </w:rPr>
        <w:t>现在中职学生的普遍特点：学习基础较差、家庭背景复杂、心理问题突出、行为习惯较差等问题。结合特殊群体学生德育工作实际，对学生进行“思想品德、学习方法、心理成长、情感生活、个性特长”等多方面的关注与培养，增强教育的针对性和实效性，促进每一个学生的全面健康发展。</w:t>
      </w:r>
    </w:p>
    <w:p w14:paraId="3D50EF63">
      <w:pPr>
        <w:pStyle w:val="12"/>
        <w:rPr>
          <w:rFonts w:hint="eastAsia" w:ascii="楷体" w:hAnsi="楷体" w:eastAsia="楷体" w:cs="楷体"/>
        </w:rPr>
      </w:pPr>
      <w:r>
        <w:rPr>
          <w:rFonts w:hint="eastAsia" w:ascii="楷体" w:hAnsi="楷体" w:eastAsia="楷体" w:cs="楷体"/>
        </w:rPr>
        <w:t>2025年学校开展班级导师制：导师在了解学生的基础上，要与受导学生建立相互理解、互相信任的关系。对学生进行全面发展指导，起到“思想上引导、学业上辅导、心理上疏导、生活上指导”等作用。让每一位学生拥有成长的导师，推动学生个性化成长、全面和谐的发展；让每一位教师拥有受指导的学生，实现全员育人，提高教书育人的能力；建立新型的校园人际关系和育人模式，让家长放心、社会满意。</w:t>
      </w:r>
    </w:p>
    <w:p w14:paraId="783E939B">
      <w:pPr>
        <w:pStyle w:val="3"/>
        <w:numPr>
          <w:ilvl w:val="0"/>
          <w:numId w:val="3"/>
        </w:numPr>
        <w:topLinePunct w:val="0"/>
        <w:ind w:left="0" w:leftChars="0" w:firstLine="640" w:firstLineChars="0"/>
        <w:rPr>
          <w:rFonts w:hint="eastAsia" w:ascii="楷体_GB2312" w:hAnsi="楷体_GB2312" w:eastAsia="楷体_GB2312" w:cs="楷体_GB2312"/>
          <w:b w:val="0"/>
        </w:rPr>
      </w:pPr>
      <w:bookmarkStart w:id="20" w:name="_Toc26873"/>
      <w:r>
        <w:t>专业建设</w:t>
      </w:r>
      <w:bookmarkEnd w:id="20"/>
    </w:p>
    <w:p w14:paraId="35AF4B4C">
      <w:pPr>
        <w:pStyle w:val="12"/>
      </w:pPr>
      <w:r>
        <w:t>学校按照＂依托行业对接产业、定位职业、服务社会＂的专业建设思路，坚持立德树人，面向文化艺术行业，培养从事中国画、油画绘制、工艺美术制作等领域的优秀人才。学校专业设置与当地产业吻合度高，其中美术绘画、戏曲表演等专业与桂平市文化艺术产业发展需求紧密对接。学校积极推进专业群建设，形成艺术设计类、公共服务类、自动化类等专业群。2023年，学校依托桂平地方民族风俗特色，新增设戏曲表演专业，建有专门的戏曲表演专业实训室、民族文化体验中心等，聘请非物质文化遗产传承人给学生上课，推动民族文化技艺传承与职业教育改革发展有机衔接。2025年，学校服务桂平市旅游城市的第三产业，新增中餐烹饪专业，为地方的服务产业提供人才保障。</w:t>
      </w:r>
    </w:p>
    <w:p w14:paraId="22F57755">
      <w:pPr>
        <w:pStyle w:val="3"/>
        <w:numPr>
          <w:ilvl w:val="0"/>
          <w:numId w:val="3"/>
        </w:numPr>
        <w:topLinePunct w:val="0"/>
        <w:ind w:left="0" w:leftChars="0" w:firstLine="640" w:firstLineChars="0"/>
        <w:rPr>
          <w:rFonts w:hint="eastAsia" w:ascii="楷体_GB2312" w:hAnsi="楷体_GB2312" w:eastAsia="楷体_GB2312" w:cs="楷体_GB2312"/>
          <w:b w:val="0"/>
        </w:rPr>
      </w:pPr>
      <w:bookmarkStart w:id="21" w:name="_Toc16"/>
      <w:r>
        <w:t>课程建设</w:t>
      </w:r>
      <w:bookmarkEnd w:id="21"/>
    </w:p>
    <w:p w14:paraId="77EE9540">
      <w:pPr>
        <w:pStyle w:val="12"/>
      </w:pPr>
      <w:r>
        <w:t>学校全面贯彻国家《新职业教育法》，以职业教育国家教学标准为基本遵循，贯彻落实党和国家在课程设置、教学内容等方面的基  本要求，规范课程设置，保证课程建设质量。严格按照国家有关规  定开齐开足公共基础课程。专业课程设置与培养目标相适应，课程内容突出应用性和实践性，注重学生职业能力和职业精神的培养。</w:t>
      </w:r>
    </w:p>
    <w:p w14:paraId="42C70CC6">
      <w:pPr>
        <w:pStyle w:val="12"/>
      </w:pPr>
      <w:r>
        <w:t>学校推行＂理论＋实训＂1：1课程比例，注重课程建设规划与体系建设。在课程思政建设方面，将思想政治教育融入专业课程教学全过程，培养学生正确的世界观、人生观、价值观。学校加强中高本课程衔接，艺术高考班学生通过全国统考可升入本科院校，2025年本科录取89人。学校建设在线精品课程，推进课程建设质量标准与监测评价，提升课程教学质量。</w:t>
      </w:r>
    </w:p>
    <w:p w14:paraId="7822CA3D">
      <w:pPr>
        <w:pStyle w:val="3"/>
        <w:numPr>
          <w:ilvl w:val="0"/>
          <w:numId w:val="3"/>
        </w:numPr>
        <w:topLinePunct w:val="0"/>
        <w:ind w:left="0" w:leftChars="0" w:firstLine="640" w:firstLineChars="0"/>
        <w:rPr>
          <w:rFonts w:hint="eastAsia" w:ascii="楷体_GB2312" w:hAnsi="楷体_GB2312" w:eastAsia="楷体_GB2312" w:cs="楷体_GB2312"/>
          <w:b w:val="0"/>
        </w:rPr>
      </w:pPr>
      <w:bookmarkStart w:id="22" w:name="_Toc10549"/>
      <w:r>
        <w:t>教材建设</w:t>
      </w:r>
      <w:bookmarkEnd w:id="22"/>
    </w:p>
    <w:p w14:paraId="3C581BDD">
      <w:pPr>
        <w:pStyle w:val="12"/>
      </w:pPr>
      <w:r>
        <w:t>学校严格执行教材选用制度，优先选用国家规划教材和职业教育规划教材。学校根据专业特点，推进新形态一体化教材建设，将企</w:t>
      </w:r>
      <w:r>
        <w:rPr>
          <w:spacing wpsCustomData:val="-6" w:val="-2"/>
        </w:rPr>
        <w:t>业真实案例、工作流程融入教材内容，提高教材的实用性和</w:t>
      </w:r>
      <w:r>
        <w:rPr>
          <w:spacing wpsCustomData:val="-6" w:val="-6"/>
        </w:rPr>
        <w:t>针</w:t>
      </w:r>
      <w:r>
        <w:t>对性。</w:t>
      </w:r>
    </w:p>
    <w:p w14:paraId="5250B84D">
      <w:pPr>
        <w:pStyle w:val="12"/>
      </w:pPr>
      <w:r>
        <w:t>学校根据国家和省指导性人才培养方案以及调研成果，构建以能力为本位、以职业实践为主线、以项目课程为主体的模块化专业课程体系；合理确定公共基础课和专业技能课学时比例，根据行业产业发展适时修订，并有严格的审批手续，选用规定教材。</w:t>
      </w:r>
    </w:p>
    <w:p w14:paraId="3DB230FF">
      <w:pPr>
        <w:pStyle w:val="3"/>
        <w:numPr>
          <w:ilvl w:val="0"/>
          <w:numId w:val="3"/>
        </w:numPr>
        <w:topLinePunct w:val="0"/>
        <w:ind w:left="0" w:leftChars="0" w:firstLine="640" w:firstLineChars="0"/>
        <w:rPr>
          <w:rFonts w:hint="eastAsia" w:ascii="楷体_GB2312" w:hAnsi="楷体_GB2312" w:eastAsia="楷体_GB2312" w:cs="楷体_GB2312"/>
          <w:b w:val="0"/>
        </w:rPr>
      </w:pPr>
      <w:bookmarkStart w:id="23" w:name="_Toc8055"/>
      <w:r>
        <w:t>师资建设</w:t>
      </w:r>
      <w:bookmarkEnd w:id="23"/>
    </w:p>
    <w:p w14:paraId="0123EBAF">
      <w:pPr>
        <w:pStyle w:val="12"/>
      </w:pPr>
      <w:r>
        <w:t>学校成立有桂平市艺术学校名师指导工作室，针对我校绘画等专业教学开展理论研究和指导教学实践工作进行指导，服务学校加强专业建设。</w:t>
      </w:r>
    </w:p>
    <w:p w14:paraId="49DC5A8F">
      <w:pPr>
        <w:pStyle w:val="12"/>
      </w:pPr>
      <w:r>
        <w:t>学校高度重视师资队伍建设，建立＂稳定、培养、引进、借智＂的人才队伍建设机制。学校加强师德师风建设，定期开展师德师风培训工作。在＂双师型＂教师队伍建设方面，学校通过派出专业教师到企业参加技能实践、聘请行业企业技术专家及高校艺术类专家作兼职教师等方式，提升教师的实践教学能力。学校建立教师培养培训制度，为教师的业务培训提供有利条件，每年进行教师考核，建立健全教师培训体系。</w:t>
      </w:r>
    </w:p>
    <w:p w14:paraId="40098254">
      <w:pPr>
        <w:bidi w:val="0"/>
        <w:spacing w:line="240" w:lineRule="auto"/>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09590" cy="3155315"/>
            <wp:effectExtent l="0" t="0" r="10160" b="6985"/>
            <wp:docPr id="3" name="图片 3" descr="bb66a2135c1fcca08c0d17a68e7db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66a2135c1fcca08c0d17a68e7db130"/>
                    <pic:cNvPicPr>
                      <a:picLocks noChangeAspect="1"/>
                    </pic:cNvPicPr>
                  </pic:nvPicPr>
                  <pic:blipFill>
                    <a:blip r:embed="rId17"/>
                    <a:stretch>
                      <a:fillRect/>
                    </a:stretch>
                  </pic:blipFill>
                  <pic:spPr>
                    <a:xfrm>
                      <a:off x="0" y="0"/>
                      <a:ext cx="5609590" cy="3155315"/>
                    </a:xfrm>
                    <a:prstGeom prst="rect">
                      <a:avLst/>
                    </a:prstGeom>
                  </pic:spPr>
                </pic:pic>
              </a:graphicData>
            </a:graphic>
          </wp:inline>
        </w:drawing>
      </w:r>
    </w:p>
    <w:p w14:paraId="381308C2">
      <w:pPr>
        <w:pStyle w:val="11"/>
        <w:jc w:val="center"/>
        <w:rPr>
          <w:rFonts w:ascii="Times New Roman" w:hAnsi="Times New Roman" w:eastAsia="仿宋_GB2312" w:cs="仿宋_GB2312"/>
          <w:spacing w:val="-6"/>
          <w:kern w:val="2"/>
          <w:sz w:val="32"/>
          <w:szCs w:val="32"/>
          <w:lang w:val="en-US" w:eastAsia="zh-CN" w:bidi="ar-SA"/>
        </w:rPr>
      </w:pPr>
      <w:r>
        <w:rPr>
          <w:rFonts w:ascii="Times New Roman" w:hAnsi="Times New Roman" w:eastAsia="仿宋_GB2312" w:cs="仿宋_GB2312"/>
          <w:spacing w:val="-6"/>
          <w:kern w:val="2"/>
          <w:sz w:val="32"/>
          <w:szCs w:val="32"/>
          <w:lang w:val="en-US" w:eastAsia="zh-CN" w:bidi="ar-SA"/>
        </w:rPr>
        <w:t xml:space="preserve">图 </w:t>
      </w:r>
      <w:r>
        <w:rPr>
          <w:rFonts w:ascii="Times New Roman" w:hAnsi="Times New Roman" w:eastAsia="仿宋_GB2312" w:cs="仿宋_GB2312"/>
          <w:spacing w:val="-6"/>
          <w:kern w:val="2"/>
          <w:sz w:val="32"/>
          <w:szCs w:val="32"/>
          <w:lang w:val="en-US" w:eastAsia="zh-CN" w:bidi="ar-SA"/>
        </w:rPr>
        <w:fldChar w:fldCharType="begin"/>
      </w:r>
      <w:r>
        <w:rPr>
          <w:rFonts w:ascii="Times New Roman" w:hAnsi="Times New Roman" w:eastAsia="仿宋_GB2312" w:cs="仿宋_GB2312"/>
          <w:spacing w:val="-6"/>
          <w:kern w:val="2"/>
          <w:sz w:val="32"/>
          <w:szCs w:val="32"/>
          <w:lang w:val="en-US" w:eastAsia="zh-CN" w:bidi="ar-SA"/>
        </w:rPr>
        <w:instrText xml:space="preserve"> SEQ 图 \* ARABIC </w:instrText>
      </w:r>
      <w:r>
        <w:rPr>
          <w:rFonts w:ascii="Times New Roman" w:hAnsi="Times New Roman" w:eastAsia="仿宋_GB2312" w:cs="仿宋_GB2312"/>
          <w:spacing w:val="-6"/>
          <w:kern w:val="2"/>
          <w:sz w:val="32"/>
          <w:szCs w:val="32"/>
          <w:lang w:val="en-US" w:eastAsia="zh-CN" w:bidi="ar-SA"/>
        </w:rPr>
        <w:fldChar w:fldCharType="separate"/>
      </w:r>
      <w:r>
        <w:rPr>
          <w:rFonts w:ascii="Times New Roman" w:hAnsi="Times New Roman" w:eastAsia="仿宋_GB2312" w:cs="仿宋_GB2312"/>
          <w:spacing w:val="-6"/>
          <w:kern w:val="2"/>
          <w:sz w:val="32"/>
          <w:szCs w:val="32"/>
          <w:lang w:val="en-US" w:eastAsia="zh-CN" w:bidi="ar-SA"/>
        </w:rPr>
        <w:t>3</w:t>
      </w:r>
      <w:r>
        <w:rPr>
          <w:rFonts w:ascii="Times New Roman" w:hAnsi="Times New Roman" w:eastAsia="仿宋_GB2312" w:cs="仿宋_GB2312"/>
          <w:spacing w:val="-6"/>
          <w:kern w:val="2"/>
          <w:sz w:val="32"/>
          <w:szCs w:val="32"/>
          <w:lang w:val="en-US" w:eastAsia="zh-CN" w:bidi="ar-SA"/>
        </w:rPr>
        <w:fldChar w:fldCharType="end"/>
      </w:r>
      <w:bookmarkStart w:id="24" w:name="_Toc5770"/>
      <w:bookmarkStart w:id="25" w:name="_Toc4324"/>
      <w:bookmarkStart w:id="26" w:name="_Toc29541"/>
      <w:r>
        <w:rPr>
          <w:rFonts w:ascii="Times New Roman" w:hAnsi="Times New Roman" w:eastAsia="仿宋_GB2312" w:cs="仿宋_GB2312"/>
          <w:spacing w:val="-6"/>
          <w:kern w:val="2"/>
          <w:sz w:val="32"/>
          <w:szCs w:val="32"/>
          <w:lang w:val="en-US" w:eastAsia="zh-CN" w:bidi="ar-SA"/>
        </w:rPr>
        <w:t>学校开展全体教职员工师德师风培训</w:t>
      </w:r>
      <w:bookmarkEnd w:id="24"/>
      <w:bookmarkEnd w:id="25"/>
      <w:bookmarkEnd w:id="26"/>
    </w:p>
    <w:p w14:paraId="4E0DE565">
      <w:pPr>
        <w:pStyle w:val="3"/>
        <w:numPr>
          <w:ilvl w:val="0"/>
          <w:numId w:val="3"/>
        </w:numPr>
        <w:topLinePunct w:val="0"/>
        <w:ind w:left="0" w:leftChars="0" w:firstLine="640" w:firstLineChars="0"/>
        <w:rPr>
          <w:rFonts w:hint="eastAsia" w:ascii="楷体_GB2312" w:hAnsi="楷体_GB2312" w:eastAsia="楷体_GB2312" w:cs="楷体_GB2312"/>
          <w:b w:val="0"/>
        </w:rPr>
      </w:pPr>
      <w:bookmarkStart w:id="27" w:name="_Toc28879"/>
      <w:r>
        <w:t>实训基地建设</w:t>
      </w:r>
      <w:bookmarkEnd w:id="27"/>
    </w:p>
    <w:p w14:paraId="4B0BACA9">
      <w:pPr>
        <w:pStyle w:val="12"/>
      </w:pPr>
      <w:r>
        <w:t>学校建有6000多平方各专业实训基地，根据学校专业共建10个实训室，包括美术绘画实训室、舞蹈专业实训室、音乐琴房实训室、烹饪专业实训室、面点专业实训室、抛沙实训室、形象设计实训室、美发专业实训室、计算机平面设计实训室和艺术设计与制作实训室。学校创新实训基地管理与运行机制，实现实训资源高效配置与共享，提升实训教学服务质量，同时基地配备先进设施设备，满足多专业实践教学需求。实训基地坚持产教融合、与时俱进理念，对接行业标准与岗位需求，动态调整实训项目内容，学校与桂平市南风广告装饰有限公司、桂平市红棉小区幼儿园、桂平市郁江畔幼儿园等企业建立校企合作关系，除了服务本地企业，学校还积极与东莞市常丰海鲜餐饮有限公司、珠海世家子一哥餐饮管理有限公司等省外优质企业进行合作，共同开展实践教学与项目合作，拓宽学生实习就业渠道。</w:t>
      </w:r>
    </w:p>
    <w:p w14:paraId="23B510FD">
      <w:pPr>
        <w:pStyle w:val="3"/>
        <w:numPr>
          <w:ilvl w:val="0"/>
          <w:numId w:val="3"/>
        </w:numPr>
        <w:topLinePunct w:val="0"/>
        <w:ind w:left="0" w:leftChars="0" w:firstLine="640" w:firstLineChars="0"/>
        <w:rPr>
          <w:rFonts w:hint="eastAsia" w:ascii="楷体_GB2312" w:hAnsi="楷体_GB2312" w:eastAsia="楷体_GB2312" w:cs="楷体_GB2312"/>
          <w:b w:val="0"/>
        </w:rPr>
      </w:pPr>
      <w:bookmarkStart w:id="28" w:name="_Toc1246"/>
      <w:r>
        <w:t>技能成长</w:t>
      </w:r>
      <w:bookmarkEnd w:id="28"/>
    </w:p>
    <w:p w14:paraId="5283043B">
      <w:pPr>
        <w:pStyle w:val="12"/>
      </w:pPr>
      <w:r>
        <w:t>学校坚持以赛促学、以赛促教，课赛融合，定期举办各专业职业技能比赛。2025年度，学校计算机平面设计专业参赛队在贵港市技能比赛暨自治区选拔赛中荣获佳绩。学校专业课合格率达98％以上，专业课教学融入竞赛标准，强化学生技能训练，提升实践能力。学校注重技术技能型人才培养，通过＂双证对接＂（毕业证与职业资格证）模式，为学生提供多元发展路径，学生职业资格证书获取率稳步提升，2025年，我校共组织106名学生参加职业资格证考试，其中有97名学生通过了考试，考试通过率达90.45％，成功获得平面设计师、西式面点师、中式烹调师等职业资格证，为学生职业发展奠定了坚实基础。在＂技能＋文化＂双提升＂育人模式下，学生综合素质显著提高，毕业的部分优秀校友进入广州沅晟服饰等企业担任高管，或考入中央美术学院、深圳大学、广西师范大学等高校深造。</w:t>
      </w:r>
    </w:p>
    <w:p w14:paraId="26D678E6">
      <w:pPr>
        <w:pStyle w:val="3"/>
        <w:numPr>
          <w:ilvl w:val="0"/>
          <w:numId w:val="3"/>
        </w:numPr>
        <w:topLinePunct w:val="0"/>
        <w:ind w:left="0" w:leftChars="0" w:firstLine="640" w:firstLineChars="0"/>
        <w:rPr>
          <w:rFonts w:hint="eastAsia" w:ascii="楷体_GB2312" w:hAnsi="楷体_GB2312" w:eastAsia="楷体_GB2312" w:cs="楷体_GB2312"/>
          <w:b w:val="0"/>
        </w:rPr>
      </w:pPr>
      <w:bookmarkStart w:id="29" w:name="_Toc802"/>
      <w:r>
        <w:t>多样成长</w:t>
      </w:r>
      <w:bookmarkEnd w:id="29"/>
    </w:p>
    <w:p w14:paraId="5A335F3B">
      <w:pPr>
        <w:pStyle w:val="12"/>
      </w:pPr>
      <w:r>
        <w:t>学校落实劳育、美育、心理健康教育，开展丰富多彩的校园活动。学校举办校园十大歌手比赛、学校运动会、绘画比赛、音乐舞蹈技能大赛等活动，丰富学生的在校生活体验。学校组织学生参与志愿服务等社会实践，推动落实职普融通，促进学生全面发展。</w:t>
      </w:r>
    </w:p>
    <w:p w14:paraId="6D6219D8">
      <w:pPr>
        <w:bidi w:val="0"/>
        <w:spacing w:line="24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406390" cy="3157220"/>
            <wp:effectExtent l="0" t="0" r="3810" b="5080"/>
            <wp:docPr id="4" name="图片 4" descr="2025.12.16 校运会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5.12.16 校运会 (5)"/>
                    <pic:cNvPicPr>
                      <a:picLocks noChangeAspect="1"/>
                    </pic:cNvPicPr>
                  </pic:nvPicPr>
                  <pic:blipFill>
                    <a:blip r:embed="rId18"/>
                    <a:stretch>
                      <a:fillRect/>
                    </a:stretch>
                  </pic:blipFill>
                  <pic:spPr>
                    <a:xfrm>
                      <a:off x="0" y="0"/>
                      <a:ext cx="5406390" cy="3157220"/>
                    </a:xfrm>
                    <a:prstGeom prst="rect">
                      <a:avLst/>
                    </a:prstGeom>
                  </pic:spPr>
                </pic:pic>
              </a:graphicData>
            </a:graphic>
          </wp:inline>
        </w:drawing>
      </w:r>
    </w:p>
    <w:p w14:paraId="1A48CBEA">
      <w:pPr>
        <w:pStyle w:val="11"/>
        <w:jc w:val="center"/>
        <w:rPr>
          <w:rFonts w:ascii="Times New Roman" w:hAnsi="Times New Roman" w:eastAsia="仿宋_GB2312" w:cs="仿宋_GB2312"/>
          <w:spacing w:val="-6"/>
          <w:kern w:val="2"/>
          <w:sz w:val="32"/>
          <w:szCs w:val="32"/>
          <w:lang w:val="en-US" w:eastAsia="zh-CN" w:bidi="ar-SA"/>
        </w:rPr>
      </w:pPr>
      <w:r>
        <w:rPr>
          <w:rFonts w:ascii="Times New Roman" w:hAnsi="Times New Roman" w:eastAsia="仿宋_GB2312" w:cs="仿宋_GB2312"/>
          <w:spacing w:val="-6"/>
          <w:kern w:val="2"/>
          <w:sz w:val="32"/>
          <w:szCs w:val="32"/>
          <w:lang w:val="en-US" w:eastAsia="zh-CN" w:bidi="ar-SA"/>
        </w:rPr>
        <w:t xml:space="preserve">图 </w:t>
      </w:r>
      <w:r>
        <w:rPr>
          <w:rFonts w:ascii="Times New Roman" w:hAnsi="Times New Roman" w:eastAsia="仿宋_GB2312" w:cs="仿宋_GB2312"/>
          <w:spacing w:val="-6"/>
          <w:kern w:val="2"/>
          <w:sz w:val="32"/>
          <w:szCs w:val="32"/>
          <w:lang w:val="en-US" w:eastAsia="zh-CN" w:bidi="ar-SA"/>
        </w:rPr>
        <w:fldChar w:fldCharType="begin"/>
      </w:r>
      <w:r>
        <w:rPr>
          <w:rFonts w:ascii="Times New Roman" w:hAnsi="Times New Roman" w:eastAsia="仿宋_GB2312" w:cs="仿宋_GB2312"/>
          <w:spacing w:val="-6"/>
          <w:kern w:val="2"/>
          <w:sz w:val="32"/>
          <w:szCs w:val="32"/>
          <w:lang w:val="en-US" w:eastAsia="zh-CN" w:bidi="ar-SA"/>
        </w:rPr>
        <w:instrText xml:space="preserve"> SEQ 图 \* ARABIC </w:instrText>
      </w:r>
      <w:r>
        <w:rPr>
          <w:rFonts w:ascii="Times New Roman" w:hAnsi="Times New Roman" w:eastAsia="仿宋_GB2312" w:cs="仿宋_GB2312"/>
          <w:spacing w:val="-6"/>
          <w:kern w:val="2"/>
          <w:sz w:val="32"/>
          <w:szCs w:val="32"/>
          <w:lang w:val="en-US" w:eastAsia="zh-CN" w:bidi="ar-SA"/>
        </w:rPr>
        <w:fldChar w:fldCharType="separate"/>
      </w:r>
      <w:r>
        <w:rPr>
          <w:rFonts w:ascii="Times New Roman" w:hAnsi="Times New Roman" w:eastAsia="仿宋_GB2312" w:cs="仿宋_GB2312"/>
          <w:spacing w:val="-6"/>
          <w:kern w:val="2"/>
          <w:sz w:val="32"/>
          <w:szCs w:val="32"/>
          <w:lang w:val="en-US" w:eastAsia="zh-CN" w:bidi="ar-SA"/>
        </w:rPr>
        <w:t>4</w:t>
      </w:r>
      <w:r>
        <w:rPr>
          <w:rFonts w:ascii="Times New Roman" w:hAnsi="Times New Roman" w:eastAsia="仿宋_GB2312" w:cs="仿宋_GB2312"/>
          <w:spacing w:val="-6"/>
          <w:kern w:val="2"/>
          <w:sz w:val="32"/>
          <w:szCs w:val="32"/>
          <w:lang w:val="en-US" w:eastAsia="zh-CN" w:bidi="ar-SA"/>
        </w:rPr>
        <w:fldChar w:fldCharType="end"/>
      </w:r>
      <w:bookmarkStart w:id="30" w:name="_Toc27069"/>
      <w:bookmarkStart w:id="31" w:name="_Toc28774"/>
      <w:bookmarkStart w:id="32" w:name="_Toc2093"/>
      <w:r>
        <w:rPr>
          <w:rFonts w:hint="eastAsia" w:ascii="Times New Roman" w:hAnsi="Times New Roman" w:eastAsia="仿宋_GB2312" w:cs="仿宋_GB2312"/>
          <w:spacing w:val="-6"/>
          <w:kern w:val="2"/>
          <w:sz w:val="32"/>
          <w:szCs w:val="32"/>
          <w:lang w:val="en-US" w:eastAsia="zh-CN" w:bidi="ar-SA"/>
        </w:rPr>
        <w:t>：</w:t>
      </w:r>
      <w:r>
        <w:rPr>
          <w:rFonts w:ascii="Times New Roman" w:hAnsi="Times New Roman" w:eastAsia="仿宋_GB2312" w:cs="仿宋_GB2312"/>
          <w:spacing w:val="-6"/>
          <w:kern w:val="2"/>
          <w:sz w:val="32"/>
          <w:szCs w:val="32"/>
          <w:lang w:val="en-US" w:eastAsia="zh-CN" w:bidi="ar-SA"/>
        </w:rPr>
        <w:t>学校举办体育艺术节</w:t>
      </w:r>
      <w:bookmarkEnd w:id="30"/>
      <w:bookmarkEnd w:id="31"/>
      <w:bookmarkEnd w:id="32"/>
    </w:p>
    <w:p w14:paraId="117E5D35">
      <w:pPr>
        <w:bidi w:val="0"/>
        <w:spacing w:line="24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10860" cy="3420745"/>
            <wp:effectExtent l="0" t="0" r="8890" b="8255"/>
            <wp:docPr id="12" name="图片 12" descr="2025.10.29 九九重阳节敬老院活动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10.29 九九重阳节敬老院活动 (2)"/>
                    <pic:cNvPicPr>
                      <a:picLocks noChangeAspect="1"/>
                    </pic:cNvPicPr>
                  </pic:nvPicPr>
                  <pic:blipFill>
                    <a:blip r:embed="rId19"/>
                    <a:stretch>
                      <a:fillRect/>
                    </a:stretch>
                  </pic:blipFill>
                  <pic:spPr>
                    <a:xfrm>
                      <a:off x="0" y="0"/>
                      <a:ext cx="5610860" cy="3420745"/>
                    </a:xfrm>
                    <a:prstGeom prst="rect">
                      <a:avLst/>
                    </a:prstGeom>
                  </pic:spPr>
                </pic:pic>
              </a:graphicData>
            </a:graphic>
          </wp:inline>
        </w:drawing>
      </w:r>
    </w:p>
    <w:p w14:paraId="5C9BBA05">
      <w:pPr>
        <w:pStyle w:val="11"/>
        <w:jc w:val="center"/>
        <w:rPr>
          <w:rFonts w:ascii="Times New Roman" w:hAnsi="Times New Roman" w:eastAsia="仿宋_GB2312" w:cs="仿宋_GB2312"/>
          <w:spacing w:val="-6"/>
          <w:sz w:val="32"/>
          <w:szCs w:val="32"/>
          <w:lang w:val="en-US" w:eastAsia="zh-CN"/>
        </w:rPr>
      </w:pPr>
      <w:r>
        <w:rPr>
          <w:rFonts w:ascii="Times New Roman" w:hAnsi="Times New Roman" w:eastAsia="仿宋_GB2312" w:cs="仿宋_GB2312"/>
          <w:spacing w:val="-6"/>
          <w:sz w:val="32"/>
          <w:szCs w:val="32"/>
        </w:rPr>
        <w:t xml:space="preserve">图 </w:t>
      </w:r>
      <w:r>
        <w:rPr>
          <w:rFonts w:ascii="Times New Roman" w:hAnsi="Times New Roman" w:eastAsia="仿宋_GB2312" w:cs="仿宋_GB2312"/>
          <w:spacing w:val="-6"/>
          <w:sz w:val="32"/>
          <w:szCs w:val="32"/>
        </w:rPr>
        <w:fldChar w:fldCharType="begin"/>
      </w:r>
      <w:r>
        <w:rPr>
          <w:rFonts w:ascii="Times New Roman" w:hAnsi="Times New Roman" w:eastAsia="仿宋_GB2312" w:cs="仿宋_GB2312"/>
          <w:spacing w:val="-6"/>
          <w:sz w:val="32"/>
          <w:szCs w:val="32"/>
        </w:rPr>
        <w:instrText xml:space="preserve"> SEQ 图 \* ARABIC </w:instrText>
      </w:r>
      <w:r>
        <w:rPr>
          <w:rFonts w:ascii="Times New Roman" w:hAnsi="Times New Roman" w:eastAsia="仿宋_GB2312" w:cs="仿宋_GB2312"/>
          <w:spacing w:val="-6"/>
          <w:sz w:val="32"/>
          <w:szCs w:val="32"/>
        </w:rPr>
        <w:fldChar w:fldCharType="separate"/>
      </w:r>
      <w:r>
        <w:rPr>
          <w:rFonts w:ascii="Times New Roman" w:hAnsi="Times New Roman" w:eastAsia="仿宋_GB2312" w:cs="仿宋_GB2312"/>
          <w:spacing w:val="-6"/>
          <w:sz w:val="32"/>
          <w:szCs w:val="32"/>
        </w:rPr>
        <w:t>5</w:t>
      </w:r>
      <w:r>
        <w:rPr>
          <w:rFonts w:ascii="Times New Roman" w:hAnsi="Times New Roman" w:eastAsia="仿宋_GB2312" w:cs="仿宋_GB2312"/>
          <w:spacing w:val="-6"/>
          <w:sz w:val="32"/>
          <w:szCs w:val="32"/>
        </w:rPr>
        <w:fldChar w:fldCharType="end"/>
      </w:r>
      <w:bookmarkStart w:id="33" w:name="_Toc8809"/>
      <w:bookmarkStart w:id="34" w:name="_Toc7554"/>
      <w:bookmarkStart w:id="35" w:name="_Toc16610"/>
      <w:r>
        <w:rPr>
          <w:rFonts w:hint="eastAsia" w:ascii="Times New Roman" w:hAnsi="Times New Roman" w:eastAsia="仿宋_GB2312" w:cs="仿宋_GB2312"/>
          <w:spacing w:val="-6"/>
          <w:sz w:val="32"/>
          <w:szCs w:val="32"/>
          <w:lang w:eastAsia="zh-CN"/>
        </w:rPr>
        <w:t>：</w:t>
      </w:r>
      <w:r>
        <w:rPr>
          <w:rFonts w:ascii="Times New Roman" w:hAnsi="Times New Roman" w:eastAsia="仿宋_GB2312" w:cs="仿宋_GB2312"/>
          <w:spacing w:val="-6"/>
          <w:sz w:val="32"/>
          <w:szCs w:val="32"/>
          <w:lang w:val="en-US" w:eastAsia="zh-CN"/>
        </w:rPr>
        <w:t>学校学生志愿者到养老院参加志愿者活动</w:t>
      </w:r>
      <w:bookmarkEnd w:id="33"/>
      <w:bookmarkEnd w:id="34"/>
      <w:bookmarkEnd w:id="35"/>
    </w:p>
    <w:p w14:paraId="48487723">
      <w:pPr>
        <w:pStyle w:val="3"/>
        <w:numPr>
          <w:ilvl w:val="0"/>
          <w:numId w:val="3"/>
        </w:numPr>
        <w:topLinePunct w:val="0"/>
        <w:ind w:left="0" w:leftChars="0" w:firstLine="640" w:firstLineChars="0"/>
        <w:rPr>
          <w:rFonts w:hint="eastAsia" w:ascii="楷体_GB2312" w:hAnsi="楷体_GB2312" w:eastAsia="楷体_GB2312" w:cs="楷体_GB2312"/>
          <w:b w:val="0"/>
        </w:rPr>
      </w:pPr>
      <w:bookmarkStart w:id="36" w:name="_Toc8434"/>
      <w:r>
        <w:t>学生发展融通的实践成效等</w:t>
      </w:r>
      <w:bookmarkEnd w:id="36"/>
    </w:p>
    <w:p w14:paraId="0FB408DD">
      <w:pPr>
        <w:pStyle w:val="12"/>
      </w:pPr>
      <w:r>
        <w:t>就业情况：2025年我校毕业生总人数407人，就业人数389人，直接就业人数199人，毕业生就业满意度达93.38％，毕业生初次就业率达95％以上。学校通过校企合作平台，毕业生可进入陶瓷制作、广告设计、烹饪餐饮、酒店等领域实习就业，实现专业对口就业比例持续提升。部分优秀毕业生在校毕业后，通过创业政策扶持独立开设餐饮店、服装厂、科技公司等企业，展现了出色的创业能力与创新精神。</w:t>
      </w:r>
    </w:p>
    <w:p w14:paraId="5A30E8AE">
      <w:pPr>
        <w:pStyle w:val="12"/>
      </w:pPr>
      <w:r>
        <w:t>升学情况：2025年我校共有190名毕业生升入高等院校继续深造，我校艺术类、体育类学生可通过全国统考升入本科院校，2025年我校学生参加全国统考本科录取89人，专科录取150人。其中本科录取院校包括天津财经大学、南宁师范大学、广西科技师范学院等区内外知名高校，专科录取院校涵盖柳州职业技术大学、广西机电职业技术学院、南宁职业技术大学等优质高职院校。</w:t>
      </w:r>
    </w:p>
    <w:p w14:paraId="52F83882">
      <w:pPr>
        <w:pStyle w:val="12"/>
      </w:pPr>
      <w:r>
        <w:t>通过就业与升学两条主要路径，学校实现了学生发展的多元融通，既满足了行业企业对技术技能人才的迫切需求，也为学生未来的长远发展提供了广阔空间，充分体现了中等职业教育在人才培养中的灵活性与适应性。</w:t>
      </w:r>
    </w:p>
    <w:p w14:paraId="512D5A02">
      <w:pPr>
        <w:pStyle w:val="2"/>
        <w:numPr>
          <w:ilvl w:val="0"/>
          <w:numId w:val="1"/>
        </w:numPr>
        <w:topLinePunct w:val="0"/>
        <w:ind w:left="0" w:leftChars="0" w:firstLine="640" w:firstLineChars="0"/>
        <w:rPr>
          <w:b w:val="0"/>
        </w:rPr>
      </w:pPr>
      <w:bookmarkStart w:id="37" w:name="_Toc26076"/>
      <w:r>
        <w:t>服务贡献</w:t>
      </w:r>
      <w:bookmarkEnd w:id="37"/>
    </w:p>
    <w:p w14:paraId="336B7640">
      <w:pPr>
        <w:pStyle w:val="3"/>
        <w:numPr>
          <w:ilvl w:val="0"/>
          <w:numId w:val="5"/>
        </w:numPr>
        <w:topLinePunct w:val="0"/>
        <w:ind w:left="0" w:leftChars="0" w:firstLine="640" w:firstLineChars="0"/>
        <w:rPr>
          <w:rFonts w:hint="eastAsia" w:ascii="楷体_GB2312" w:hAnsi="楷体_GB2312" w:eastAsia="楷体_GB2312" w:cs="楷体_GB2312"/>
          <w:b w:val="0"/>
        </w:rPr>
      </w:pPr>
      <w:bookmarkStart w:id="38" w:name="_Toc17276"/>
      <w:r>
        <w:t>服务国家战略</w:t>
      </w:r>
      <w:bookmarkEnd w:id="38"/>
    </w:p>
    <w:p w14:paraId="19BCD1D2">
      <w:pPr>
        <w:pStyle w:val="12"/>
      </w:pPr>
      <w:r>
        <w:t>学校积极响应国家职业教育改革发展战略，贯彻落实《国家职业教育改革实施方案》和《关于推动现代职业教育高质量发展的意见》等文件精神，深化产教融合、校企合作，培养适应区域经济发展需要的高素质技术技能人才。围绕国家重点产业布局和区域支柱产业发展方向，我校精准对接新能源汽车、美术设计、现代服务业等领域，优化专业结构，新增新能源汽车检测与维修、艺术设计与制作、中餐烹饪等前沿专业，将课程内容与国家职业技能标准紧密对接，确保培养的人才具备扎实的专业技能和良好的职业素养。</w:t>
      </w:r>
    </w:p>
    <w:p w14:paraId="3BBDF825">
      <w:pPr>
        <w:pStyle w:val="3"/>
        <w:numPr>
          <w:ilvl w:val="0"/>
          <w:numId w:val="5"/>
        </w:numPr>
        <w:topLinePunct w:val="0"/>
        <w:ind w:left="0" w:leftChars="0" w:firstLine="640" w:firstLineChars="0"/>
        <w:rPr>
          <w:rFonts w:hint="eastAsia" w:ascii="楷体_GB2312" w:hAnsi="楷体_GB2312" w:eastAsia="楷体_GB2312" w:cs="楷体_GB2312"/>
          <w:b w:val="0"/>
        </w:rPr>
      </w:pPr>
      <w:bookmarkStart w:id="39" w:name="_Toc20273"/>
      <w:r>
        <w:t>服务行业企业</w:t>
      </w:r>
      <w:bookmarkEnd w:id="39"/>
    </w:p>
    <w:p w14:paraId="46AA1CD1">
      <w:pPr>
        <w:pStyle w:val="12"/>
      </w:pPr>
      <w:r>
        <w:t>学校与桂平市南风广告装饰有限公司、桂平市红棉小区幼儿园、桂平市郁江畔幼儿园等企业建立校企合作关系，通过共建专业、协同育人、岗位实习等方式，共同开展专业教学与实践指导，推动人才培养模式创新，定期派遣教师到企业进行调研、学习和校企合作考察，深化产教融合。</w:t>
      </w:r>
    </w:p>
    <w:p w14:paraId="6CD8157C">
      <w:pPr>
        <w:pStyle w:val="12"/>
      </w:pPr>
      <w:r>
        <w:t>除了服务本地企业，学校还积极与东莞市常丰海鲜餐饮有限公司、珠海世家子一哥餐饮管理有限公司等省外优质企业进行合作，并根据企业需求，调整人才培养方案，开展专业技能培养，输送大批优质实习生与毕业生开展实习或就业工作，有效提升了学生的职业适应能力和就业竞争力。</w:t>
      </w:r>
    </w:p>
    <w:p w14:paraId="0111B1A7">
      <w:pPr>
        <w:pStyle w:val="3"/>
        <w:numPr>
          <w:ilvl w:val="0"/>
          <w:numId w:val="5"/>
        </w:numPr>
        <w:topLinePunct w:val="0"/>
        <w:ind w:left="0" w:leftChars="0" w:firstLine="640" w:firstLineChars="0"/>
        <w:rPr>
          <w:rFonts w:hint="eastAsia" w:ascii="楷体_GB2312" w:hAnsi="楷体_GB2312" w:eastAsia="楷体_GB2312" w:cs="楷体_GB2312"/>
          <w:b w:val="0"/>
        </w:rPr>
      </w:pPr>
      <w:bookmarkStart w:id="40" w:name="_Toc327"/>
      <w:r>
        <w:t>服务地方发展</w:t>
      </w:r>
      <w:bookmarkEnd w:id="40"/>
    </w:p>
    <w:p w14:paraId="665AF003">
      <w:pPr>
        <w:pStyle w:val="12"/>
      </w:pPr>
      <w:r>
        <w:t>学校立足桂平市文化艺术产业发展需求，培养美术绘画、工艺美术制作等领域的实用型专业人才。学校依托桂平地方民族风俗特色，新增设戏曲表演专业，聘请非物质文化遗产传承人给学生上课，推动民族文化技艺传承，服务地方文化事业发展。</w:t>
      </w:r>
    </w:p>
    <w:p w14:paraId="1F65516E">
      <w:pPr>
        <w:pStyle w:val="2"/>
        <w:numPr>
          <w:ilvl w:val="0"/>
          <w:numId w:val="1"/>
        </w:numPr>
        <w:topLinePunct w:val="0"/>
        <w:ind w:left="0" w:leftChars="0" w:firstLine="640" w:firstLineChars="0"/>
        <w:rPr>
          <w:b w:val="0"/>
        </w:rPr>
      </w:pPr>
      <w:bookmarkStart w:id="41" w:name="_Toc25241"/>
      <w:r>
        <w:t>文化传承</w:t>
      </w:r>
      <w:bookmarkEnd w:id="41"/>
    </w:p>
    <w:p w14:paraId="7704FBC2">
      <w:pPr>
        <w:pStyle w:val="3"/>
        <w:numPr>
          <w:ilvl w:val="0"/>
          <w:numId w:val="6"/>
        </w:numPr>
        <w:topLinePunct w:val="0"/>
        <w:ind w:left="0" w:leftChars="0" w:firstLine="640" w:firstLineChars="0"/>
        <w:rPr>
          <w:rFonts w:hint="eastAsia" w:ascii="楷体_GB2312" w:hAnsi="楷体_GB2312" w:eastAsia="楷体_GB2312" w:cs="楷体_GB2312"/>
          <w:b w:val="0"/>
        </w:rPr>
      </w:pPr>
      <w:bookmarkStart w:id="42" w:name="_Toc12886"/>
      <w:r>
        <w:t>工匠精神</w:t>
      </w:r>
      <w:bookmarkEnd w:id="42"/>
    </w:p>
    <w:p w14:paraId="65A5A100">
      <w:pPr>
        <w:pStyle w:val="12"/>
      </w:pPr>
      <w:r>
        <w:t>学校注重培养学生的工匠精神，通过技能大赛、实训实践等方式，培养学生精益求精、追求卓越的职业素养。学校组织学生参加绘画比赛、音乐舞蹈技能大赛等活动，以赛促学、以赛促教，提升学生的专业技能和职业素养。</w:t>
      </w:r>
    </w:p>
    <w:p w14:paraId="4528096D">
      <w:pPr>
        <w:pStyle w:val="3"/>
        <w:numPr>
          <w:ilvl w:val="0"/>
          <w:numId w:val="6"/>
        </w:numPr>
        <w:topLinePunct w:val="0"/>
        <w:ind w:left="0" w:leftChars="0" w:firstLine="640" w:firstLineChars="0"/>
        <w:rPr>
          <w:rFonts w:hint="eastAsia" w:ascii="楷体_GB2312" w:hAnsi="楷体_GB2312" w:eastAsia="楷体_GB2312" w:cs="楷体_GB2312"/>
          <w:b w:val="0"/>
        </w:rPr>
      </w:pPr>
      <w:bookmarkStart w:id="43" w:name="_Toc6323"/>
      <w:r>
        <w:t>红色文化</w:t>
      </w:r>
      <w:bookmarkEnd w:id="43"/>
    </w:p>
    <w:p w14:paraId="30624566">
      <w:pPr>
        <w:pStyle w:val="12"/>
      </w:pPr>
      <w:r>
        <w:t>学校建立中共桂平市艺术学校党支部委员会，定期组织参观黄日葵纪念馆、祭拜先烈活动等红色教育活动，传承红色基因，赓续红色血脉。学校开展＂抗美援朝＂主题系列活动，强化学生爱国主义教育。</w:t>
      </w:r>
    </w:p>
    <w:p w14:paraId="2EE845CF">
      <w:pPr>
        <w:pStyle w:val="3"/>
        <w:numPr>
          <w:ilvl w:val="0"/>
          <w:numId w:val="6"/>
        </w:numPr>
        <w:topLinePunct w:val="0"/>
        <w:ind w:left="0" w:leftChars="0" w:firstLine="640" w:firstLineChars="0"/>
        <w:rPr>
          <w:rFonts w:hint="eastAsia" w:ascii="楷体_GB2312" w:hAnsi="楷体_GB2312" w:eastAsia="楷体_GB2312" w:cs="楷体_GB2312"/>
          <w:b w:val="0"/>
        </w:rPr>
      </w:pPr>
      <w:bookmarkStart w:id="44" w:name="_Toc4818"/>
      <w:r>
        <w:t>中华传统优秀文化</w:t>
      </w:r>
      <w:bookmarkEnd w:id="44"/>
    </w:p>
    <w:p w14:paraId="26271606">
      <w:pPr>
        <w:pStyle w:val="12"/>
      </w:pPr>
      <w:r>
        <w:t>学校依托桂平地方民族风俗特色，新增设戏曲表演专业，建有专门的戏曲表演专业实训室、民族文化体验中心等，聘请非物质文化遗产传承人给学生上课，推动民族文化技艺传承。学校开展丰富多彩的民族文化活动，如壮族＂三月三＂系列文化教育活动，让学生在活动中感受中华文化的魅力。</w:t>
      </w:r>
    </w:p>
    <w:p w14:paraId="2A28929A">
      <w:pPr>
        <w:bidi w:val="0"/>
        <w:spacing w:line="24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10860" cy="3548380"/>
            <wp:effectExtent l="0" t="0" r="8890" b="13970"/>
            <wp:docPr id="10" name="图片 10" descr="2025.03.25 三月三西山广场演出活动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03.25 三月三西山广场演出活动  (1)"/>
                    <pic:cNvPicPr>
                      <a:picLocks noChangeAspect="1"/>
                    </pic:cNvPicPr>
                  </pic:nvPicPr>
                  <pic:blipFill>
                    <a:blip r:embed="rId20"/>
                    <a:stretch>
                      <a:fillRect/>
                    </a:stretch>
                  </pic:blipFill>
                  <pic:spPr>
                    <a:xfrm>
                      <a:off x="0" y="0"/>
                      <a:ext cx="5610860" cy="3548380"/>
                    </a:xfrm>
                    <a:prstGeom prst="rect">
                      <a:avLst/>
                    </a:prstGeom>
                  </pic:spPr>
                </pic:pic>
              </a:graphicData>
            </a:graphic>
          </wp:inline>
        </w:drawing>
      </w:r>
    </w:p>
    <w:p w14:paraId="06E8C542">
      <w:pPr>
        <w:pStyle w:val="11"/>
        <w:jc w:val="center"/>
        <w:rPr>
          <w:rFonts w:ascii="Times New Roman" w:hAnsi="Times New Roman" w:eastAsia="仿宋_GB2312" w:cs="仿宋_GB2312"/>
          <w:spacing w:val="-6"/>
          <w:kern w:val="2"/>
          <w:sz w:val="32"/>
          <w:szCs w:val="32"/>
          <w:lang w:val="en-US" w:eastAsia="zh-CN" w:bidi="ar-SA"/>
        </w:rPr>
      </w:pPr>
      <w:r>
        <w:rPr>
          <w:rFonts w:ascii="Times New Roman" w:hAnsi="Times New Roman" w:eastAsia="仿宋_GB2312" w:cs="仿宋_GB2312"/>
          <w:spacing w:val="-6"/>
          <w:kern w:val="2"/>
          <w:sz w:val="32"/>
          <w:szCs w:val="32"/>
          <w:lang w:val="en-US" w:eastAsia="zh-CN" w:bidi="ar-SA"/>
        </w:rPr>
        <w:t xml:space="preserve">图 </w:t>
      </w:r>
      <w:r>
        <w:rPr>
          <w:rFonts w:ascii="Times New Roman" w:hAnsi="Times New Roman" w:eastAsia="仿宋_GB2312" w:cs="仿宋_GB2312"/>
          <w:spacing w:val="-6"/>
          <w:kern w:val="2"/>
          <w:sz w:val="32"/>
          <w:szCs w:val="32"/>
          <w:lang w:val="en-US" w:eastAsia="zh-CN" w:bidi="ar-SA"/>
        </w:rPr>
        <w:fldChar w:fldCharType="begin"/>
      </w:r>
      <w:r>
        <w:rPr>
          <w:rFonts w:ascii="Times New Roman" w:hAnsi="Times New Roman" w:eastAsia="仿宋_GB2312" w:cs="仿宋_GB2312"/>
          <w:spacing w:val="-6"/>
          <w:kern w:val="2"/>
          <w:sz w:val="32"/>
          <w:szCs w:val="32"/>
          <w:lang w:val="en-US" w:eastAsia="zh-CN" w:bidi="ar-SA"/>
        </w:rPr>
        <w:instrText xml:space="preserve"> SEQ 图 \* ARABIC </w:instrText>
      </w:r>
      <w:r>
        <w:rPr>
          <w:rFonts w:ascii="Times New Roman" w:hAnsi="Times New Roman" w:eastAsia="仿宋_GB2312" w:cs="仿宋_GB2312"/>
          <w:spacing w:val="-6"/>
          <w:kern w:val="2"/>
          <w:sz w:val="32"/>
          <w:szCs w:val="32"/>
          <w:lang w:val="en-US" w:eastAsia="zh-CN" w:bidi="ar-SA"/>
        </w:rPr>
        <w:fldChar w:fldCharType="separate"/>
      </w:r>
      <w:r>
        <w:rPr>
          <w:rFonts w:ascii="Times New Roman" w:hAnsi="Times New Roman" w:eastAsia="仿宋_GB2312" w:cs="仿宋_GB2312"/>
          <w:spacing w:val="-6"/>
          <w:kern w:val="2"/>
          <w:sz w:val="32"/>
          <w:szCs w:val="32"/>
          <w:lang w:val="en-US" w:eastAsia="zh-CN" w:bidi="ar-SA"/>
        </w:rPr>
        <w:t>6</w:t>
      </w:r>
      <w:r>
        <w:rPr>
          <w:rFonts w:ascii="Times New Roman" w:hAnsi="Times New Roman" w:eastAsia="仿宋_GB2312" w:cs="仿宋_GB2312"/>
          <w:spacing w:val="-6"/>
          <w:kern w:val="2"/>
          <w:sz w:val="32"/>
          <w:szCs w:val="32"/>
          <w:lang w:val="en-US" w:eastAsia="zh-CN" w:bidi="ar-SA"/>
        </w:rPr>
        <w:fldChar w:fldCharType="end"/>
      </w:r>
      <w:bookmarkStart w:id="45" w:name="_Toc27754"/>
      <w:bookmarkStart w:id="46" w:name="_Toc16322"/>
      <w:bookmarkStart w:id="47" w:name="_Toc25112"/>
      <w:r>
        <w:rPr>
          <w:rFonts w:hint="eastAsia" w:ascii="Times New Roman" w:hAnsi="Times New Roman" w:eastAsia="仿宋_GB2312" w:cs="仿宋_GB2312"/>
          <w:spacing w:val="-6"/>
          <w:kern w:val="2"/>
          <w:sz w:val="32"/>
          <w:szCs w:val="32"/>
          <w:lang w:val="en-US" w:eastAsia="zh-CN" w:bidi="ar-SA"/>
        </w:rPr>
        <w:t>：</w:t>
      </w:r>
      <w:r>
        <w:rPr>
          <w:rFonts w:ascii="Times New Roman" w:hAnsi="Times New Roman" w:eastAsia="仿宋_GB2312" w:cs="仿宋_GB2312"/>
          <w:spacing w:val="-6"/>
          <w:kern w:val="2"/>
          <w:sz w:val="32"/>
          <w:szCs w:val="32"/>
          <w:lang w:val="en-US" w:eastAsia="zh-CN" w:bidi="ar-SA"/>
        </w:rPr>
        <w:t>学校学生参加壮族＂三月三＂系列文化教育活动</w:t>
      </w:r>
      <w:bookmarkEnd w:id="45"/>
      <w:bookmarkEnd w:id="46"/>
      <w:bookmarkEnd w:id="47"/>
    </w:p>
    <w:p w14:paraId="1FC7A490">
      <w:pPr>
        <w:pStyle w:val="3"/>
        <w:numPr>
          <w:ilvl w:val="0"/>
          <w:numId w:val="6"/>
        </w:numPr>
        <w:topLinePunct w:val="0"/>
        <w:ind w:left="0" w:leftChars="0" w:firstLine="640" w:firstLineChars="0"/>
        <w:rPr>
          <w:rFonts w:hint="eastAsia" w:ascii="楷体_GB2312" w:hAnsi="楷体_GB2312" w:eastAsia="楷体_GB2312" w:cs="楷体_GB2312"/>
          <w:b w:val="0"/>
        </w:rPr>
      </w:pPr>
      <w:bookmarkStart w:id="48" w:name="_Toc21245"/>
      <w:r>
        <w:t>校园文化和地方文化</w:t>
      </w:r>
      <w:bookmarkEnd w:id="48"/>
    </w:p>
    <w:p w14:paraId="54B536A1">
      <w:pPr>
        <w:pStyle w:val="12"/>
      </w:pPr>
      <w:r>
        <w:t>学校依托桂平地方民族风俗特色、西山佛教文化和桂平市武术之乡的文化传承，学校组织各类民族特色的兴趣小组，开展丰富多彩的民族文体活动。桂平市是有名的武术之乡，有着丰富多样的民族文化，利用这一优势资源，学校成立桂平市艺术学校武术协会。除此，学校绘画专业、戏曲表演专业和计算机平面设计专业的教学内容把桂平市地方的民族传统文化融入课堂，让学生们热爱民族传统文化，推动学校各民族学生之间营造团结友爱氛围，同时也为本地区民族传统文化的传承与民族团结贡献力量。</w:t>
      </w:r>
    </w:p>
    <w:p w14:paraId="60404CFB">
      <w:pPr>
        <w:bidi w:val="0"/>
        <w:spacing w:line="240" w:lineRule="auto"/>
        <w:rPr>
          <w:rFonts w:hint="eastAsia"/>
          <w:lang w:eastAsia="zh-CN"/>
        </w:rPr>
      </w:pPr>
      <w:r>
        <w:rPr>
          <w:rFonts w:hint="eastAsia"/>
          <w:lang w:eastAsia="zh-CN"/>
        </w:rPr>
        <w:drawing>
          <wp:inline distT="0" distB="0" distL="114300" distR="114300">
            <wp:extent cx="5610860" cy="3740785"/>
            <wp:effectExtent l="0" t="0" r="8890" b="12065"/>
            <wp:docPr id="13" name="图片 13" descr="2025.07.08 我校学生到广西民族大学参加区十四届武术项目比赛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5.07.08 我校学生到广西民族大学参加区十四届武术项目比赛  (2)"/>
                    <pic:cNvPicPr>
                      <a:picLocks noChangeAspect="1"/>
                    </pic:cNvPicPr>
                  </pic:nvPicPr>
                  <pic:blipFill>
                    <a:blip r:embed="rId21"/>
                    <a:stretch>
                      <a:fillRect/>
                    </a:stretch>
                  </pic:blipFill>
                  <pic:spPr>
                    <a:xfrm>
                      <a:off x="0" y="0"/>
                      <a:ext cx="5610860" cy="3740785"/>
                    </a:xfrm>
                    <a:prstGeom prst="rect">
                      <a:avLst/>
                    </a:prstGeom>
                  </pic:spPr>
                </pic:pic>
              </a:graphicData>
            </a:graphic>
          </wp:inline>
        </w:drawing>
      </w:r>
    </w:p>
    <w:p w14:paraId="19415047">
      <w:pPr>
        <w:pStyle w:val="11"/>
        <w:jc w:val="center"/>
        <w:rPr>
          <w:rFonts w:ascii="Times New Roman" w:hAnsi="Times New Roman" w:eastAsia="仿宋_GB2312" w:cs="仿宋_GB2312"/>
          <w:spacing w:val="-6"/>
          <w:kern w:val="2"/>
          <w:sz w:val="32"/>
          <w:szCs w:val="32"/>
          <w:lang w:val="en-US" w:eastAsia="zh-CN" w:bidi="ar-SA"/>
        </w:rPr>
      </w:pPr>
      <w:r>
        <w:rPr>
          <w:rFonts w:ascii="Times New Roman" w:hAnsi="Times New Roman" w:eastAsia="仿宋_GB2312" w:cs="仿宋_GB2312"/>
          <w:spacing w:val="-6"/>
          <w:kern w:val="2"/>
          <w:sz w:val="32"/>
          <w:szCs w:val="32"/>
          <w:lang w:val="en-US" w:eastAsia="zh-CN" w:bidi="ar-SA"/>
        </w:rPr>
        <w:t xml:space="preserve">图 </w:t>
      </w:r>
      <w:r>
        <w:rPr>
          <w:rFonts w:ascii="Times New Roman" w:hAnsi="Times New Roman" w:eastAsia="仿宋_GB2312" w:cs="仿宋_GB2312"/>
          <w:spacing w:val="-6"/>
          <w:kern w:val="2"/>
          <w:sz w:val="32"/>
          <w:szCs w:val="32"/>
          <w:lang w:val="en-US" w:eastAsia="zh-CN" w:bidi="ar-SA"/>
        </w:rPr>
        <w:fldChar w:fldCharType="begin"/>
      </w:r>
      <w:r>
        <w:rPr>
          <w:rFonts w:ascii="Times New Roman" w:hAnsi="Times New Roman" w:eastAsia="仿宋_GB2312" w:cs="仿宋_GB2312"/>
          <w:spacing w:val="-6"/>
          <w:kern w:val="2"/>
          <w:sz w:val="32"/>
          <w:szCs w:val="32"/>
          <w:lang w:val="en-US" w:eastAsia="zh-CN" w:bidi="ar-SA"/>
        </w:rPr>
        <w:instrText xml:space="preserve"> SEQ 图 \* ARABIC </w:instrText>
      </w:r>
      <w:r>
        <w:rPr>
          <w:rFonts w:ascii="Times New Roman" w:hAnsi="Times New Roman" w:eastAsia="仿宋_GB2312" w:cs="仿宋_GB2312"/>
          <w:spacing w:val="-6"/>
          <w:kern w:val="2"/>
          <w:sz w:val="32"/>
          <w:szCs w:val="32"/>
          <w:lang w:val="en-US" w:eastAsia="zh-CN" w:bidi="ar-SA"/>
        </w:rPr>
        <w:fldChar w:fldCharType="separate"/>
      </w:r>
      <w:r>
        <w:rPr>
          <w:rFonts w:ascii="Times New Roman" w:hAnsi="Times New Roman" w:eastAsia="仿宋_GB2312" w:cs="仿宋_GB2312"/>
          <w:spacing w:val="-6"/>
          <w:kern w:val="2"/>
          <w:sz w:val="32"/>
          <w:szCs w:val="32"/>
          <w:lang w:val="en-US" w:eastAsia="zh-CN" w:bidi="ar-SA"/>
        </w:rPr>
        <w:t>7</w:t>
      </w:r>
      <w:r>
        <w:rPr>
          <w:rFonts w:ascii="Times New Roman" w:hAnsi="Times New Roman" w:eastAsia="仿宋_GB2312" w:cs="仿宋_GB2312"/>
          <w:spacing w:val="-6"/>
          <w:kern w:val="2"/>
          <w:sz w:val="32"/>
          <w:szCs w:val="32"/>
          <w:lang w:val="en-US" w:eastAsia="zh-CN" w:bidi="ar-SA"/>
        </w:rPr>
        <w:fldChar w:fldCharType="end"/>
      </w:r>
      <w:bookmarkStart w:id="49" w:name="_Toc11168"/>
      <w:bookmarkStart w:id="50" w:name="_Toc9791"/>
      <w:bookmarkStart w:id="51" w:name="_Toc19673"/>
      <w:r>
        <w:rPr>
          <w:rFonts w:hint="eastAsia" w:ascii="Times New Roman" w:hAnsi="Times New Roman" w:eastAsia="仿宋_GB2312" w:cs="仿宋_GB2312"/>
          <w:spacing w:val="-6"/>
          <w:kern w:val="2"/>
          <w:sz w:val="32"/>
          <w:szCs w:val="32"/>
          <w:lang w:val="en-US" w:eastAsia="zh-CN" w:bidi="ar-SA"/>
        </w:rPr>
        <w:t>：</w:t>
      </w:r>
      <w:r>
        <w:rPr>
          <w:rFonts w:ascii="Times New Roman" w:hAnsi="Times New Roman" w:eastAsia="仿宋_GB2312" w:cs="仿宋_GB2312"/>
          <w:spacing w:val="-6"/>
          <w:kern w:val="2"/>
          <w:sz w:val="32"/>
          <w:szCs w:val="32"/>
          <w:lang w:val="en-US" w:eastAsia="zh-CN" w:bidi="ar-SA"/>
        </w:rPr>
        <w:t>学生到广西民族大学参加区十四届武术项目比赛</w:t>
      </w:r>
      <w:bookmarkEnd w:id="49"/>
      <w:bookmarkEnd w:id="50"/>
      <w:bookmarkEnd w:id="51"/>
    </w:p>
    <w:p w14:paraId="16420DF8">
      <w:pPr>
        <w:pStyle w:val="2"/>
        <w:numPr>
          <w:ilvl w:val="0"/>
          <w:numId w:val="1"/>
        </w:numPr>
        <w:topLinePunct w:val="0"/>
        <w:ind w:left="0" w:leftChars="0" w:firstLine="640" w:firstLineChars="0"/>
        <w:rPr>
          <w:b w:val="0"/>
        </w:rPr>
      </w:pPr>
      <w:bookmarkStart w:id="52" w:name="_Toc9300"/>
      <w:r>
        <w:t>产教融合</w:t>
      </w:r>
      <w:bookmarkEnd w:id="52"/>
    </w:p>
    <w:p w14:paraId="0389C06B">
      <w:pPr>
        <w:pStyle w:val="3"/>
        <w:numPr>
          <w:ilvl w:val="0"/>
          <w:numId w:val="7"/>
        </w:numPr>
        <w:topLinePunct w:val="0"/>
        <w:ind w:left="0" w:leftChars="0" w:firstLine="640" w:firstLineChars="0"/>
        <w:rPr>
          <w:rFonts w:hint="eastAsia" w:ascii="楷体_GB2312" w:hAnsi="楷体_GB2312" w:eastAsia="楷体_GB2312" w:cs="楷体_GB2312"/>
          <w:b w:val="0"/>
        </w:rPr>
      </w:pPr>
      <w:bookmarkStart w:id="53" w:name="_Toc25212"/>
      <w:r>
        <w:t>机制建设</w:t>
      </w:r>
      <w:bookmarkEnd w:id="53"/>
    </w:p>
    <w:p w14:paraId="3AE02AF7">
      <w:pPr>
        <w:pStyle w:val="12"/>
      </w:pPr>
      <w:r>
        <w:t>学校建立产教融合、校企合作机制，与桂平市社坡镇艺精陶瓷坊、桂平市郁江畔幼儿园等企业建立校企合作关系。学校派遣教师到企业进行调研和校企合作考察，深化产教融合。</w:t>
      </w:r>
    </w:p>
    <w:p w14:paraId="0119563A">
      <w:pPr>
        <w:pStyle w:val="3"/>
        <w:numPr>
          <w:ilvl w:val="0"/>
          <w:numId w:val="7"/>
        </w:numPr>
        <w:topLinePunct w:val="0"/>
        <w:ind w:left="0" w:leftChars="0" w:firstLine="640" w:firstLineChars="0"/>
        <w:rPr>
          <w:rFonts w:hint="eastAsia" w:ascii="楷体_GB2312" w:hAnsi="楷体_GB2312" w:eastAsia="楷体_GB2312" w:cs="楷体_GB2312"/>
          <w:b w:val="0"/>
        </w:rPr>
      </w:pPr>
      <w:bookmarkStart w:id="54" w:name="_Toc6765"/>
      <w:r>
        <w:t>资源建设</w:t>
      </w:r>
      <w:bookmarkEnd w:id="54"/>
    </w:p>
    <w:p w14:paraId="32623D64">
      <w:pPr>
        <w:pStyle w:val="12"/>
      </w:pPr>
      <w:r>
        <w:t>学校建有6000多平方各专业实训基地，配备先进的实训设备。学校与企业共建实训基地，将企业真实工作场景引入校园，为学生提供真实的实训环境。学校聘请行业企业技术专家及高校艺术类专家作兼职教师，充实师资队伍。</w:t>
      </w:r>
    </w:p>
    <w:p w14:paraId="59E26ABA">
      <w:pPr>
        <w:bidi w:val="0"/>
        <w:spacing w:line="240" w:lineRule="auto"/>
        <w:rPr>
          <w:rFonts w:hint="eastAsia"/>
          <w:lang w:val="en-US" w:eastAsia="zh-CN"/>
        </w:rPr>
      </w:pPr>
      <w:r>
        <w:rPr>
          <w:rFonts w:hint="eastAsia"/>
          <w:lang w:val="en-US" w:eastAsia="zh-CN"/>
        </w:rPr>
        <w:drawing>
          <wp:inline distT="0" distB="0" distL="114300" distR="114300">
            <wp:extent cx="5610860" cy="3740785"/>
            <wp:effectExtent l="0" t="0" r="8890" b="12065"/>
            <wp:docPr id="14" name="图片 14" descr="2025.12.10 广西交通技术学院领导来校调研指导工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5.12.10 广西交通技术学院领导来校调研指导工作  (2)"/>
                    <pic:cNvPicPr>
                      <a:picLocks noChangeAspect="1"/>
                    </pic:cNvPicPr>
                  </pic:nvPicPr>
                  <pic:blipFill>
                    <a:blip r:embed="rId22"/>
                    <a:stretch>
                      <a:fillRect/>
                    </a:stretch>
                  </pic:blipFill>
                  <pic:spPr>
                    <a:xfrm>
                      <a:off x="0" y="0"/>
                      <a:ext cx="5610860" cy="3740785"/>
                    </a:xfrm>
                    <a:prstGeom prst="rect">
                      <a:avLst/>
                    </a:prstGeom>
                  </pic:spPr>
                </pic:pic>
              </a:graphicData>
            </a:graphic>
          </wp:inline>
        </w:drawing>
      </w:r>
    </w:p>
    <w:p w14:paraId="15508502">
      <w:pPr>
        <w:pStyle w:val="11"/>
        <w:jc w:val="center"/>
        <w:rPr>
          <w:rFonts w:ascii="Times New Roman" w:hAnsi="Times New Roman" w:eastAsia="仿宋_GB2312" w:cs="仿宋_GB2312"/>
          <w:spacing w:val="-6"/>
          <w:kern w:val="2"/>
          <w:sz w:val="32"/>
          <w:szCs w:val="32"/>
          <w:lang w:val="en-US" w:eastAsia="zh-CN" w:bidi="ar-SA"/>
        </w:rPr>
      </w:pPr>
      <w:r>
        <w:rPr>
          <w:rFonts w:ascii="Times New Roman" w:hAnsi="Times New Roman" w:eastAsia="仿宋_GB2312" w:cs="仿宋_GB2312"/>
          <w:spacing w:val="-6"/>
          <w:kern w:val="2"/>
          <w:sz w:val="32"/>
          <w:szCs w:val="32"/>
          <w:lang w:val="en-US" w:eastAsia="zh-CN" w:bidi="ar-SA"/>
        </w:rPr>
        <w:t xml:space="preserve">图 </w:t>
      </w:r>
      <w:r>
        <w:rPr>
          <w:rFonts w:ascii="Times New Roman" w:hAnsi="Times New Roman" w:eastAsia="仿宋_GB2312" w:cs="仿宋_GB2312"/>
          <w:spacing w:val="-6"/>
          <w:kern w:val="2"/>
          <w:sz w:val="32"/>
          <w:szCs w:val="32"/>
          <w:lang w:val="en-US" w:eastAsia="zh-CN" w:bidi="ar-SA"/>
        </w:rPr>
        <w:fldChar w:fldCharType="begin"/>
      </w:r>
      <w:r>
        <w:rPr>
          <w:rFonts w:ascii="Times New Roman" w:hAnsi="Times New Roman" w:eastAsia="仿宋_GB2312" w:cs="仿宋_GB2312"/>
          <w:spacing w:val="-6"/>
          <w:kern w:val="2"/>
          <w:sz w:val="32"/>
          <w:szCs w:val="32"/>
          <w:lang w:val="en-US" w:eastAsia="zh-CN" w:bidi="ar-SA"/>
        </w:rPr>
        <w:instrText xml:space="preserve"> SEQ 图 \* ARABIC </w:instrText>
      </w:r>
      <w:r>
        <w:rPr>
          <w:rFonts w:ascii="Times New Roman" w:hAnsi="Times New Roman" w:eastAsia="仿宋_GB2312" w:cs="仿宋_GB2312"/>
          <w:spacing w:val="-6"/>
          <w:kern w:val="2"/>
          <w:sz w:val="32"/>
          <w:szCs w:val="32"/>
          <w:lang w:val="en-US" w:eastAsia="zh-CN" w:bidi="ar-SA"/>
        </w:rPr>
        <w:fldChar w:fldCharType="separate"/>
      </w:r>
      <w:r>
        <w:rPr>
          <w:rFonts w:ascii="Times New Roman" w:hAnsi="Times New Roman" w:eastAsia="仿宋_GB2312" w:cs="仿宋_GB2312"/>
          <w:spacing w:val="-6"/>
          <w:kern w:val="2"/>
          <w:sz w:val="32"/>
          <w:szCs w:val="32"/>
          <w:lang w:val="en-US" w:eastAsia="zh-CN" w:bidi="ar-SA"/>
        </w:rPr>
        <w:t>8</w:t>
      </w:r>
      <w:r>
        <w:rPr>
          <w:rFonts w:ascii="Times New Roman" w:hAnsi="Times New Roman" w:eastAsia="仿宋_GB2312" w:cs="仿宋_GB2312"/>
          <w:spacing w:val="-6"/>
          <w:kern w:val="2"/>
          <w:sz w:val="32"/>
          <w:szCs w:val="32"/>
          <w:lang w:val="en-US" w:eastAsia="zh-CN" w:bidi="ar-SA"/>
        </w:rPr>
        <w:fldChar w:fldCharType="end"/>
      </w:r>
      <w:bookmarkStart w:id="55" w:name="_Toc27340"/>
      <w:bookmarkStart w:id="56" w:name="_Toc4058"/>
      <w:bookmarkStart w:id="57" w:name="_Toc26926"/>
      <w:r>
        <w:rPr>
          <w:rFonts w:ascii="Times New Roman" w:hAnsi="Times New Roman" w:eastAsia="仿宋_GB2312" w:cs="仿宋_GB2312"/>
          <w:spacing w:val="-6"/>
          <w:kern w:val="2"/>
          <w:sz w:val="32"/>
          <w:szCs w:val="32"/>
          <w:lang w:val="en-US" w:eastAsia="zh-CN" w:bidi="ar-SA"/>
        </w:rPr>
        <w:t>：广西交通技师学院专家组到校指导新能源汽车专业建设</w:t>
      </w:r>
      <w:bookmarkEnd w:id="55"/>
      <w:bookmarkEnd w:id="56"/>
      <w:bookmarkEnd w:id="57"/>
    </w:p>
    <w:p w14:paraId="1AC3E1CF">
      <w:pPr>
        <w:pStyle w:val="3"/>
        <w:numPr>
          <w:ilvl w:val="0"/>
          <w:numId w:val="7"/>
        </w:numPr>
        <w:topLinePunct w:val="0"/>
        <w:ind w:left="0" w:leftChars="0" w:firstLine="640" w:firstLineChars="0"/>
        <w:rPr>
          <w:rFonts w:hint="eastAsia" w:ascii="楷体_GB2312" w:hAnsi="楷体_GB2312" w:eastAsia="楷体_GB2312" w:cs="楷体_GB2312"/>
          <w:b w:val="0"/>
        </w:rPr>
      </w:pPr>
      <w:bookmarkStart w:id="58" w:name="_Toc16531"/>
      <w:r>
        <w:t>协同育人</w:t>
      </w:r>
      <w:bookmarkEnd w:id="58"/>
    </w:p>
    <w:p w14:paraId="061E4E97">
      <w:pPr>
        <w:pStyle w:val="12"/>
      </w:pPr>
      <w:r>
        <w:t>学校与企业协同育人，共同制定人才培养方案，将企业真实案例、工作流程融入教学内容。学校组织学生到企业实习实践，提高学生的实践能力和职业素养。学校通过校企合作，为学生提供就业岗位，实现毕业即就业。</w:t>
      </w:r>
    </w:p>
    <w:p w14:paraId="423B6D5C">
      <w:pPr>
        <w:pStyle w:val="2"/>
        <w:numPr>
          <w:ilvl w:val="0"/>
          <w:numId w:val="1"/>
        </w:numPr>
        <w:topLinePunct w:val="0"/>
        <w:ind w:left="0" w:leftChars="0" w:firstLine="640" w:firstLineChars="0"/>
        <w:rPr>
          <w:b w:val="0"/>
        </w:rPr>
      </w:pPr>
      <w:bookmarkStart w:id="59" w:name="_Toc13476"/>
      <w:r>
        <w:t>发展保障</w:t>
      </w:r>
      <w:bookmarkEnd w:id="59"/>
    </w:p>
    <w:p w14:paraId="7580B788">
      <w:pPr>
        <w:pStyle w:val="3"/>
        <w:numPr>
          <w:ilvl w:val="0"/>
          <w:numId w:val="8"/>
        </w:numPr>
        <w:topLinePunct w:val="0"/>
        <w:ind w:left="0" w:leftChars="0" w:firstLine="640" w:firstLineChars="0"/>
        <w:rPr>
          <w:rFonts w:hint="eastAsia" w:ascii="楷体_GB2312" w:hAnsi="楷体_GB2312" w:eastAsia="楷体_GB2312" w:cs="楷体_GB2312"/>
          <w:b w:val="0"/>
        </w:rPr>
      </w:pPr>
      <w:bookmarkStart w:id="60" w:name="_Toc29588"/>
      <w:r>
        <w:t>党建引领</w:t>
      </w:r>
      <w:bookmarkEnd w:id="60"/>
    </w:p>
    <w:p w14:paraId="03F0F43D">
      <w:pPr>
        <w:pStyle w:val="12"/>
      </w:pPr>
      <w:r>
        <w:t>学校建立中共桂平市艺术学校党支部委员会，坚持以党建为统领，落实立德树人根本任务。学校定期组织党员教师开展红色教育活动，强化思想政治引领，发挥党员的先锋模范作用。</w:t>
      </w:r>
    </w:p>
    <w:p w14:paraId="2DA8BB1F">
      <w:pPr>
        <w:pStyle w:val="4"/>
        <w:numPr>
          <w:ilvl w:val="0"/>
          <w:numId w:val="9"/>
        </w:numPr>
        <w:topLinePunct w:val="0"/>
        <w:ind w:left="0" w:leftChars="0" w:firstLine="640" w:firstLineChars="0"/>
        <w:rPr>
          <w:rFonts w:hint="eastAsia" w:ascii="仿宋_GB2312" w:hAnsi="仿宋_GB2312" w:eastAsia="仿宋_GB2312" w:cs="仿宋_GB2312"/>
          <w:b w:val="0"/>
        </w:rPr>
      </w:pPr>
      <w:r>
        <w:t>党组织建设</w:t>
      </w:r>
    </w:p>
    <w:p w14:paraId="4B542C7D">
      <w:pPr>
        <w:pStyle w:val="12"/>
      </w:pPr>
      <w:r>
        <w:t>学校成立中共桂平市艺术学校党支部委员会，党支部设支部书记1人，副书记1人，纪律委员1人，组织委员1人；现有党员12人，预备党员2人，入党积极分子 2人。党组织设置符合相关要求。学校党支部按规定建立党组织，按期换届。按照中国共产党章程的规定开展党的活动，加强党的建设。党组织关系隶属于中国共产党桂平市委教育工作委员会。学校党支部管理体制清晰， 隶属</w:t>
      </w:r>
      <w:r>
        <w:rPr>
          <w:spacing wpsCustomData:val="-6" w:val="-2"/>
        </w:rPr>
        <w:t>关系明确，组织体系健全，按规定配备党组织负责人和党务</w:t>
      </w:r>
      <w:r>
        <w:rPr>
          <w:spacing wpsCustomData:val="-6" w:val="-6"/>
        </w:rPr>
        <w:t>工</w:t>
      </w:r>
      <w:r>
        <w:t>作者。</w:t>
      </w:r>
    </w:p>
    <w:p w14:paraId="340F1534">
      <w:pPr>
        <w:pStyle w:val="4"/>
        <w:numPr>
          <w:ilvl w:val="0"/>
          <w:numId w:val="9"/>
        </w:numPr>
        <w:topLinePunct w:val="0"/>
        <w:ind w:left="0" w:leftChars="0" w:firstLine="640" w:firstLineChars="0"/>
        <w:rPr>
          <w:rFonts w:hint="eastAsia" w:ascii="仿宋_GB2312" w:hAnsi="仿宋_GB2312" w:eastAsia="仿宋_GB2312" w:cs="仿宋_GB2312"/>
          <w:b w:val="0"/>
        </w:rPr>
      </w:pPr>
      <w:bookmarkStart w:id="61" w:name="2.1.2作用发挥"/>
      <w:bookmarkEnd w:id="61"/>
      <w:bookmarkStart w:id="62" w:name="2.1.2作用发挥"/>
      <w:bookmarkEnd w:id="62"/>
      <w:r>
        <w:t>作用发挥</w:t>
      </w:r>
    </w:p>
    <w:p w14:paraId="4B0FDB1B">
      <w:pPr>
        <w:pStyle w:val="12"/>
      </w:pPr>
      <w:r>
        <w:t>学校全面贯彻党的教育方针，坚持社会主义办学方向，落实立德树人根本任务，培养德智体美劳全面发展的社会主义建设者和接班人。在学校章程中明确党组织的设置形式、地位作用、职责权限参与决策机制和党务工作机构人员配备，经费保障等内容；在学校章程中体现党组建设情况、主要职责等内容。推进“双向进入、交叉任职”；党组织能按规定参与决策实施监督。党组织参与决策监督的机制完善，制度健全；落实“三会一课”制度。明确党务工作机构和党务工作人员；党组织书记通过法定程序进入学校董（理）事会，党组织班子成员按照学校章程进入行政管理层。党组织班子成员进入学校监督机构。涉及党的建设、思想政治工作和德育工作的事项， 由党组织会议研究决定；涉及教师引进、课程建设、教材选用、学术活动。对外交流等教育教学重要事项，党组织要把好政治关。</w:t>
      </w:r>
    </w:p>
    <w:p w14:paraId="56494E41">
      <w:pPr>
        <w:pStyle w:val="3"/>
        <w:numPr>
          <w:ilvl w:val="0"/>
          <w:numId w:val="8"/>
        </w:numPr>
        <w:topLinePunct w:val="0"/>
        <w:ind w:left="0" w:leftChars="0" w:firstLine="640" w:firstLineChars="0"/>
        <w:rPr>
          <w:rFonts w:hint="eastAsia" w:ascii="楷体_GB2312" w:hAnsi="楷体_GB2312" w:eastAsia="楷体_GB2312" w:cs="楷体_GB2312"/>
          <w:b w:val="0"/>
        </w:rPr>
      </w:pPr>
      <w:bookmarkStart w:id="63" w:name="_Toc14665"/>
      <w:r>
        <w:t>政策落实</w:t>
      </w:r>
      <w:bookmarkEnd w:id="63"/>
    </w:p>
    <w:p w14:paraId="21924B61">
      <w:pPr>
        <w:pStyle w:val="12"/>
      </w:pPr>
      <w:r>
        <w:t>学校严格按照《民办教育促进法》、《实施条例》和《中等职业学校设置》的要求，严格执行国家的法律、法规依法办学。学校严格按照审批程序依法履行学校名称、办学地址、法人确定等手续，受教育行政部门指导监督。学校办学许可证、收费许可证、民办非企业登记证（三证统一）、食品经营证、餐饮许可证等五证齐全。</w:t>
      </w:r>
    </w:p>
    <w:p w14:paraId="62065A70">
      <w:pPr>
        <w:pStyle w:val="12"/>
      </w:pPr>
      <w:r>
        <w:t>认真贯彻落实《国家职业教育法》，坚守质量立足点，唱响发展主旋律。一是加强职业教育法规政策宣传，广泛宣传国家大力发展职业教育的政策及免学费政策，教育引导广大学生和家长树立正确的教育观、人才观和就业观，提高社会对职业教育的认同感。 二是突出社会主义核心将敬业精神、诚信、爱国主义教育贯穿于教学过程中，落实立德树人的任务。</w:t>
      </w:r>
    </w:p>
    <w:p w14:paraId="2881403F">
      <w:pPr>
        <w:pStyle w:val="12"/>
      </w:pPr>
      <w:r>
        <w:t>学校全面学习领悟《国家职业教育改革实施方案》精神，推动《关于推动现代职业教育高质量发展的意见》落地，着重抓好调整定位，中等职业教育是职业教育的起点而不是终点，推动中职学校多样化发展，从单纯“以就业为导向”转变为“就业与升学并重”，抓好符合职业教育特点的升学教育，在保障学生技术技能培养质量的基础上，加强文化基础教育，打开中职学生的成长空间，让中职学生就业有能力、升学有优势、发展有通道，这既是党和政府的要求，也是人民群众的迫切期望，更是产业发展对人才层次高移的现实需要。同时，加快实施中职学校办学条件达标建设项目，推动学校职业教育高质量发展。</w:t>
      </w:r>
    </w:p>
    <w:p w14:paraId="33414DE0">
      <w:pPr>
        <w:pStyle w:val="3"/>
        <w:numPr>
          <w:ilvl w:val="0"/>
          <w:numId w:val="8"/>
        </w:numPr>
        <w:topLinePunct w:val="0"/>
        <w:ind w:left="0" w:leftChars="0" w:firstLine="640" w:firstLineChars="0"/>
        <w:rPr>
          <w:rFonts w:hint="eastAsia" w:ascii="楷体_GB2312" w:hAnsi="楷体_GB2312" w:eastAsia="楷体_GB2312" w:cs="楷体_GB2312"/>
          <w:b w:val="0"/>
        </w:rPr>
      </w:pPr>
      <w:bookmarkStart w:id="64" w:name="_Toc9423"/>
      <w:r>
        <w:t>专项实施</w:t>
      </w:r>
      <w:bookmarkEnd w:id="64"/>
    </w:p>
    <w:p w14:paraId="6C44AE10">
      <w:pPr>
        <w:pStyle w:val="12"/>
      </w:pPr>
      <w:r>
        <w:t>学校主管单位是贵港市教育局，在贵港市教育局和桂平市教 育局的指导下开展工作，学校重度重视，严格执行，积极配合完成自治区、市政府、教育局下达的各种政策、工作任务，并根据 工作开展情况，研究和解决在职业教育发展过程中遇到的困难和  问题，提出促进贵港市职业教育改革与发展的意见和建议，完善了  我市的职业教育政策体系，为职业教育事业发展提供了有力支持 和保障，协同推进贵港市职业教育工作健康发展。</w:t>
      </w:r>
    </w:p>
    <w:p w14:paraId="34F982B0">
      <w:pPr>
        <w:pStyle w:val="12"/>
      </w:pPr>
      <w:r>
        <w:t>学校认真贯彻党和国家资助政策，为保证每个学生都能顺利完成学业，我校加强了学生资助发放工作的管理，完善了学生资助各项制度，取得了一定实效。2025年度全国资助系统填报免学费人数为2500人、助学金562 人，自治区奖学金 24 人，国家奖学金 1人， 家庭经济困难大学新生入学资助 25人， 校内助学金 4人，系统填报人数均为我校实际在校生。</w:t>
      </w:r>
    </w:p>
    <w:p w14:paraId="1C5C9E60">
      <w:pPr>
        <w:pStyle w:val="29"/>
        <w:rPr>
          <w:rFonts w:ascii="楷体"/>
          <w:sz w:val="21"/>
        </w:rPr>
      </w:pPr>
      <w:r>
        <w:t xml:space="preserve">表 </w:t>
      </w:r>
      <w:r>
        <w:fldChar w:fldCharType="begin"/>
      </w:r>
      <w:r>
        <w:instrText xml:space="preserve"> SEQ 表 \* ARABIC </w:instrText>
      </w:r>
      <w:r>
        <w:fldChar w:fldCharType="separate"/>
      </w:r>
      <w:r>
        <w:t>1</w:t>
      </w:r>
      <w:r>
        <w:fldChar w:fldCharType="end"/>
      </w:r>
      <w:bookmarkStart w:id="65" w:name="_Toc3676"/>
      <w:bookmarkStart w:id="66" w:name="_Toc1708"/>
      <w:bookmarkStart w:id="67" w:name="_Toc18325"/>
      <w:r>
        <w:rPr>
          <w:rFonts w:hint="eastAsia"/>
          <w:lang w:val="en-US" w:eastAsia="zh-CN"/>
        </w:rPr>
        <w:t xml:space="preserve"> </w:t>
      </w:r>
      <w:r>
        <w:t>桂平市艺术学校 2024－2025年学生资助情况表</w:t>
      </w:r>
      <w:bookmarkEnd w:id="65"/>
      <w:bookmarkEnd w:id="66"/>
      <w:bookmarkEnd w:id="67"/>
    </w:p>
    <w:tbl>
      <w:tblPr>
        <w:tblStyle w:val="20"/>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6"/>
        <w:gridCol w:w="1736"/>
        <w:gridCol w:w="1781"/>
        <w:gridCol w:w="1916"/>
        <w:gridCol w:w="2018"/>
      </w:tblGrid>
      <w:tr w14:paraId="636DB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657" w:type="dxa"/>
            <w:gridSpan w:val="5"/>
          </w:tcPr>
          <w:p w14:paraId="1456D8E1">
            <w:pPr>
              <w:pStyle w:val="27"/>
              <w:spacing w:before="89"/>
              <w:ind w:left="1516"/>
              <w:rPr>
                <w:sz w:val="32"/>
              </w:rPr>
            </w:pPr>
            <w:r>
              <w:rPr>
                <w:sz w:val="32"/>
              </w:rPr>
              <w:t>桂平市艺术学校 202</w:t>
            </w:r>
            <w:r>
              <w:rPr>
                <w:rFonts w:hint="eastAsia"/>
                <w:sz w:val="32"/>
                <w:lang w:val="en-US" w:eastAsia="zh-CN"/>
              </w:rPr>
              <w:t>4</w:t>
            </w:r>
            <w:r>
              <w:rPr>
                <w:rFonts w:hint="eastAsia"/>
                <w:sz w:val="32"/>
                <w:lang w:eastAsia="zh-CN"/>
              </w:rPr>
              <w:t>－</w:t>
            </w:r>
            <w:r>
              <w:rPr>
                <w:sz w:val="32"/>
              </w:rPr>
              <w:t>202</w:t>
            </w:r>
            <w:r>
              <w:rPr>
                <w:rFonts w:hint="eastAsia"/>
                <w:sz w:val="32"/>
                <w:lang w:val="en-US" w:eastAsia="zh-CN"/>
              </w:rPr>
              <w:t>5</w:t>
            </w:r>
            <w:r>
              <w:rPr>
                <w:sz w:val="32"/>
              </w:rPr>
              <w:t xml:space="preserve"> 年学生资助情况表</w:t>
            </w:r>
          </w:p>
        </w:tc>
      </w:tr>
      <w:tr w14:paraId="7F27B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723" w:type="dxa"/>
            <w:gridSpan w:val="3"/>
          </w:tcPr>
          <w:p w14:paraId="1E10F30A">
            <w:pPr>
              <w:pStyle w:val="27"/>
              <w:rPr>
                <w:rFonts w:ascii="Times New Roman"/>
                <w:sz w:val="24"/>
              </w:rPr>
            </w:pPr>
          </w:p>
        </w:tc>
        <w:tc>
          <w:tcPr>
            <w:tcW w:w="3934" w:type="dxa"/>
            <w:gridSpan w:val="2"/>
            <w:vAlign w:val="center"/>
          </w:tcPr>
          <w:p w14:paraId="2CB87AFF">
            <w:pPr>
              <w:pStyle w:val="27"/>
              <w:spacing w:line="276" w:lineRule="exact"/>
              <w:jc w:val="center"/>
              <w:rPr>
                <w:b/>
                <w:sz w:val="22"/>
              </w:rPr>
            </w:pPr>
            <w:r>
              <w:rPr>
                <w:b/>
                <w:sz w:val="22"/>
              </w:rPr>
              <w:t>单位：人次、万元</w:t>
            </w:r>
          </w:p>
        </w:tc>
      </w:tr>
      <w:tr w14:paraId="464E2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206" w:type="dxa"/>
            <w:vMerge w:val="restart"/>
          </w:tcPr>
          <w:p w14:paraId="15834C8A">
            <w:pPr>
              <w:pStyle w:val="27"/>
              <w:spacing w:before="11"/>
              <w:rPr>
                <w:rFonts w:ascii="楷体"/>
                <w:sz w:val="28"/>
              </w:rPr>
            </w:pPr>
          </w:p>
          <w:p w14:paraId="5C022E82">
            <w:pPr>
              <w:pStyle w:val="27"/>
              <w:ind w:left="107"/>
              <w:rPr>
                <w:b/>
                <w:sz w:val="24"/>
              </w:rPr>
            </w:pPr>
            <w:r>
              <w:rPr>
                <w:b/>
                <w:sz w:val="24"/>
              </w:rPr>
              <w:t>学校名称</w:t>
            </w:r>
          </w:p>
        </w:tc>
        <w:tc>
          <w:tcPr>
            <w:tcW w:w="3517" w:type="dxa"/>
            <w:gridSpan w:val="2"/>
            <w:vMerge w:val="restart"/>
            <w:vAlign w:val="top"/>
          </w:tcPr>
          <w:p w14:paraId="66822373">
            <w:pPr>
              <w:pStyle w:val="27"/>
              <w:spacing w:before="11"/>
              <w:jc w:val="center"/>
              <w:rPr>
                <w:rFonts w:ascii="楷体"/>
                <w:sz w:val="28"/>
              </w:rPr>
            </w:pPr>
          </w:p>
          <w:p w14:paraId="1EF2FC89">
            <w:pPr>
              <w:pStyle w:val="27"/>
              <w:jc w:val="center"/>
              <w:rPr>
                <w:b/>
                <w:sz w:val="24"/>
              </w:rPr>
            </w:pPr>
            <w:r>
              <w:rPr>
                <w:b/>
                <w:sz w:val="24"/>
              </w:rPr>
              <w:t>学生资助项目</w:t>
            </w:r>
          </w:p>
        </w:tc>
        <w:tc>
          <w:tcPr>
            <w:tcW w:w="3934" w:type="dxa"/>
            <w:gridSpan w:val="2"/>
          </w:tcPr>
          <w:p w14:paraId="448796D9">
            <w:pPr>
              <w:pStyle w:val="27"/>
              <w:spacing w:before="135"/>
              <w:ind w:left="1744"/>
              <w:rPr>
                <w:b/>
                <w:sz w:val="22"/>
              </w:rPr>
            </w:pPr>
            <w:r>
              <w:rPr>
                <w:b/>
                <w:sz w:val="22"/>
              </w:rPr>
              <w:t>资助年度</w:t>
            </w:r>
          </w:p>
        </w:tc>
      </w:tr>
      <w:tr w14:paraId="12B6A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206" w:type="dxa"/>
            <w:vMerge w:val="continue"/>
            <w:tcBorders>
              <w:top w:val="nil"/>
            </w:tcBorders>
          </w:tcPr>
          <w:p w14:paraId="4BCEDC0F">
            <w:pPr>
              <w:rPr>
                <w:sz w:val="2"/>
                <w:szCs w:val="2"/>
              </w:rPr>
            </w:pPr>
          </w:p>
        </w:tc>
        <w:tc>
          <w:tcPr>
            <w:tcW w:w="3517" w:type="dxa"/>
            <w:gridSpan w:val="2"/>
            <w:vMerge w:val="continue"/>
            <w:tcBorders>
              <w:top w:val="nil"/>
            </w:tcBorders>
          </w:tcPr>
          <w:p w14:paraId="73DE7F96">
            <w:pPr>
              <w:rPr>
                <w:sz w:val="2"/>
                <w:szCs w:val="2"/>
              </w:rPr>
            </w:pPr>
          </w:p>
        </w:tc>
        <w:tc>
          <w:tcPr>
            <w:tcW w:w="1916" w:type="dxa"/>
          </w:tcPr>
          <w:p w14:paraId="2000BB30">
            <w:pPr>
              <w:pStyle w:val="27"/>
              <w:spacing w:before="101"/>
              <w:ind w:firstLine="660" w:firstLineChars="300"/>
              <w:rPr>
                <w:b/>
                <w:sz w:val="22"/>
              </w:rPr>
            </w:pPr>
            <w:r>
              <w:rPr>
                <w:b/>
                <w:sz w:val="22"/>
              </w:rPr>
              <w:t>202</w:t>
            </w:r>
            <w:r>
              <w:rPr>
                <w:rFonts w:hint="eastAsia"/>
                <w:b/>
                <w:sz w:val="22"/>
                <w:lang w:val="en-US" w:eastAsia="zh-CN"/>
              </w:rPr>
              <w:t>4</w:t>
            </w:r>
            <w:r>
              <w:rPr>
                <w:b/>
                <w:sz w:val="22"/>
              </w:rPr>
              <w:t>年</w:t>
            </w:r>
          </w:p>
        </w:tc>
        <w:tc>
          <w:tcPr>
            <w:tcW w:w="2018" w:type="dxa"/>
          </w:tcPr>
          <w:p w14:paraId="0297292A">
            <w:pPr>
              <w:pStyle w:val="27"/>
              <w:spacing w:before="101"/>
              <w:ind w:right="417"/>
              <w:jc w:val="center"/>
              <w:rPr>
                <w:b/>
                <w:sz w:val="22"/>
              </w:rPr>
            </w:pPr>
            <w:r>
              <w:rPr>
                <w:rFonts w:hint="eastAsia"/>
                <w:b/>
                <w:sz w:val="22"/>
                <w:lang w:val="en-US" w:eastAsia="zh-CN"/>
              </w:rPr>
              <w:t xml:space="preserve"> </w:t>
            </w:r>
            <w:r>
              <w:rPr>
                <w:b/>
                <w:sz w:val="22"/>
              </w:rPr>
              <w:t>202</w:t>
            </w:r>
            <w:r>
              <w:rPr>
                <w:rFonts w:hint="eastAsia"/>
                <w:b/>
                <w:sz w:val="22"/>
                <w:lang w:val="en-US" w:eastAsia="zh-CN"/>
              </w:rPr>
              <w:t>5</w:t>
            </w:r>
            <w:r>
              <w:rPr>
                <w:b/>
                <w:sz w:val="22"/>
              </w:rPr>
              <w:t>年</w:t>
            </w:r>
          </w:p>
        </w:tc>
      </w:tr>
      <w:tr w14:paraId="4DE78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206" w:type="dxa"/>
            <w:vMerge w:val="restart"/>
          </w:tcPr>
          <w:p w14:paraId="5BD42B17">
            <w:pPr>
              <w:pStyle w:val="27"/>
              <w:rPr>
                <w:rFonts w:ascii="楷体"/>
                <w:sz w:val="24"/>
              </w:rPr>
            </w:pPr>
          </w:p>
          <w:p w14:paraId="65FBAEB2">
            <w:pPr>
              <w:pStyle w:val="27"/>
              <w:rPr>
                <w:rFonts w:ascii="楷体"/>
                <w:sz w:val="24"/>
              </w:rPr>
            </w:pPr>
          </w:p>
          <w:p w14:paraId="0267CEDF">
            <w:pPr>
              <w:pStyle w:val="27"/>
              <w:rPr>
                <w:rFonts w:ascii="楷体"/>
                <w:sz w:val="24"/>
              </w:rPr>
            </w:pPr>
          </w:p>
          <w:p w14:paraId="7CC16D1B">
            <w:pPr>
              <w:pStyle w:val="27"/>
              <w:spacing w:before="9"/>
              <w:rPr>
                <w:rFonts w:ascii="楷体"/>
                <w:sz w:val="31"/>
              </w:rPr>
            </w:pPr>
          </w:p>
          <w:p w14:paraId="10A31C00">
            <w:pPr>
              <w:pStyle w:val="27"/>
              <w:spacing w:before="1" w:line="242" w:lineRule="auto"/>
              <w:ind w:left="107" w:right="97"/>
              <w:rPr>
                <w:b/>
                <w:sz w:val="24"/>
              </w:rPr>
            </w:pPr>
            <w:r>
              <w:rPr>
                <w:b/>
                <w:sz w:val="24"/>
              </w:rPr>
              <w:t>桂平市</w:t>
            </w:r>
          </w:p>
          <w:p w14:paraId="7B0AC244">
            <w:pPr>
              <w:pStyle w:val="27"/>
              <w:spacing w:before="1" w:line="242" w:lineRule="auto"/>
              <w:ind w:left="107" w:right="97"/>
              <w:rPr>
                <w:b/>
                <w:sz w:val="24"/>
              </w:rPr>
            </w:pPr>
            <w:r>
              <w:rPr>
                <w:b/>
                <w:sz w:val="24"/>
              </w:rPr>
              <w:t>艺术学校</w:t>
            </w:r>
          </w:p>
        </w:tc>
        <w:tc>
          <w:tcPr>
            <w:tcW w:w="1736" w:type="dxa"/>
            <w:vMerge w:val="restart"/>
            <w:vAlign w:val="top"/>
          </w:tcPr>
          <w:p w14:paraId="2B6F264C">
            <w:pPr>
              <w:pStyle w:val="27"/>
              <w:spacing w:before="10"/>
              <w:jc w:val="center"/>
              <w:rPr>
                <w:rFonts w:ascii="楷体"/>
                <w:sz w:val="16"/>
              </w:rPr>
            </w:pPr>
          </w:p>
          <w:p w14:paraId="33767AEE">
            <w:pPr>
              <w:pStyle w:val="27"/>
              <w:spacing w:line="266" w:lineRule="auto"/>
              <w:ind w:right="196"/>
              <w:jc w:val="center"/>
              <w:rPr>
                <w:sz w:val="22"/>
              </w:rPr>
            </w:pPr>
            <w:r>
              <w:rPr>
                <w:sz w:val="22"/>
              </w:rPr>
              <w:t>国家免学费</w:t>
            </w:r>
          </w:p>
        </w:tc>
        <w:tc>
          <w:tcPr>
            <w:tcW w:w="1781" w:type="dxa"/>
            <w:vAlign w:val="top"/>
          </w:tcPr>
          <w:p w14:paraId="0F077A20">
            <w:pPr>
              <w:pStyle w:val="27"/>
              <w:spacing w:before="55"/>
              <w:jc w:val="center"/>
              <w:rPr>
                <w:sz w:val="22"/>
              </w:rPr>
            </w:pPr>
            <w:r>
              <w:rPr>
                <w:sz w:val="22"/>
              </w:rPr>
              <w:t>免学费人次</w:t>
            </w:r>
          </w:p>
        </w:tc>
        <w:tc>
          <w:tcPr>
            <w:tcW w:w="1916" w:type="dxa"/>
            <w:shd w:val="clear" w:color="auto" w:fill="auto"/>
            <w:vAlign w:val="top"/>
          </w:tcPr>
          <w:p w14:paraId="5CA81108">
            <w:pPr>
              <w:pStyle w:val="27"/>
              <w:spacing w:before="55"/>
              <w:jc w:val="center"/>
              <w:rPr>
                <w:rFonts w:ascii="宋体" w:hAnsi="宋体" w:eastAsia="宋体" w:cs="宋体"/>
                <w:kern w:val="2"/>
                <w:sz w:val="22"/>
                <w:szCs w:val="24"/>
                <w:lang w:val="en-US" w:eastAsia="zh-CN" w:bidi="ar-SA"/>
              </w:rPr>
            </w:pPr>
            <w:r>
              <w:rPr>
                <w:sz w:val="22"/>
              </w:rPr>
              <w:t>2781</w:t>
            </w:r>
          </w:p>
        </w:tc>
        <w:tc>
          <w:tcPr>
            <w:tcW w:w="2018" w:type="dxa"/>
          </w:tcPr>
          <w:p w14:paraId="7E2CEB8E">
            <w:pPr>
              <w:pStyle w:val="27"/>
              <w:spacing w:before="55"/>
              <w:jc w:val="center"/>
              <w:rPr>
                <w:rFonts w:hint="default" w:eastAsia="宋体"/>
                <w:sz w:val="22"/>
                <w:lang w:val="en-US" w:eastAsia="zh-CN"/>
              </w:rPr>
            </w:pPr>
            <w:r>
              <w:rPr>
                <w:rFonts w:hint="eastAsia"/>
                <w:sz w:val="22"/>
                <w:lang w:val="en-US" w:eastAsia="zh-CN"/>
              </w:rPr>
              <w:t>2500</w:t>
            </w:r>
          </w:p>
        </w:tc>
      </w:tr>
      <w:tr w14:paraId="5500D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06" w:type="dxa"/>
            <w:vMerge w:val="continue"/>
            <w:tcBorders>
              <w:top w:val="nil"/>
            </w:tcBorders>
          </w:tcPr>
          <w:p w14:paraId="4F7ECDF4">
            <w:pPr>
              <w:rPr>
                <w:sz w:val="2"/>
                <w:szCs w:val="2"/>
              </w:rPr>
            </w:pPr>
          </w:p>
        </w:tc>
        <w:tc>
          <w:tcPr>
            <w:tcW w:w="1736" w:type="dxa"/>
            <w:vMerge w:val="continue"/>
            <w:tcBorders>
              <w:top w:val="nil"/>
            </w:tcBorders>
            <w:vAlign w:val="top"/>
          </w:tcPr>
          <w:p w14:paraId="60EFD18F">
            <w:pPr>
              <w:jc w:val="center"/>
              <w:rPr>
                <w:sz w:val="2"/>
                <w:szCs w:val="2"/>
              </w:rPr>
            </w:pPr>
          </w:p>
        </w:tc>
        <w:tc>
          <w:tcPr>
            <w:tcW w:w="1781" w:type="dxa"/>
            <w:vAlign w:val="top"/>
          </w:tcPr>
          <w:p w14:paraId="25E171C2">
            <w:pPr>
              <w:pStyle w:val="27"/>
              <w:spacing w:before="16"/>
              <w:jc w:val="center"/>
              <w:rPr>
                <w:sz w:val="22"/>
              </w:rPr>
            </w:pPr>
            <w:r>
              <w:rPr>
                <w:sz w:val="22"/>
              </w:rPr>
              <w:t>免学费总金</w:t>
            </w:r>
            <w:r>
              <w:rPr>
                <w:w w:val="100"/>
                <w:sz w:val="22"/>
              </w:rPr>
              <w:t>额</w:t>
            </w:r>
          </w:p>
        </w:tc>
        <w:tc>
          <w:tcPr>
            <w:tcW w:w="1916" w:type="dxa"/>
            <w:shd w:val="clear" w:color="auto" w:fill="auto"/>
            <w:vAlign w:val="top"/>
          </w:tcPr>
          <w:p w14:paraId="2CA4B9F4">
            <w:pPr>
              <w:pStyle w:val="27"/>
              <w:spacing w:before="172"/>
              <w:ind w:right="499" w:rightChars="0"/>
              <w:jc w:val="center"/>
              <w:rPr>
                <w:rFonts w:ascii="宋体" w:hAnsi="宋体" w:eastAsia="宋体" w:cs="宋体"/>
                <w:kern w:val="2"/>
                <w:sz w:val="22"/>
                <w:szCs w:val="24"/>
                <w:lang w:val="en-US" w:eastAsia="zh-CN" w:bidi="ar-SA"/>
              </w:rPr>
            </w:pPr>
            <w:r>
              <w:rPr>
                <w:rFonts w:hint="eastAsia"/>
                <w:sz w:val="22"/>
                <w:lang w:val="en-US" w:eastAsia="zh-CN"/>
              </w:rPr>
              <w:t xml:space="preserve">     </w:t>
            </w:r>
            <w:r>
              <w:rPr>
                <w:sz w:val="22"/>
              </w:rPr>
              <w:t>506.8</w:t>
            </w:r>
          </w:p>
        </w:tc>
        <w:tc>
          <w:tcPr>
            <w:tcW w:w="2018" w:type="dxa"/>
          </w:tcPr>
          <w:p w14:paraId="26CCE7D8">
            <w:pPr>
              <w:pStyle w:val="27"/>
              <w:spacing w:before="172"/>
              <w:ind w:right="499"/>
              <w:jc w:val="center"/>
              <w:rPr>
                <w:rFonts w:hint="default" w:eastAsia="宋体"/>
                <w:sz w:val="22"/>
                <w:lang w:val="en-US" w:eastAsia="zh-CN"/>
              </w:rPr>
            </w:pPr>
            <w:r>
              <w:rPr>
                <w:rFonts w:hint="eastAsia"/>
                <w:sz w:val="22"/>
                <w:lang w:val="en-US" w:eastAsia="zh-CN"/>
              </w:rPr>
              <w:t xml:space="preserve">    463.9</w:t>
            </w:r>
          </w:p>
        </w:tc>
      </w:tr>
      <w:tr w14:paraId="629D4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206" w:type="dxa"/>
            <w:vMerge w:val="continue"/>
            <w:tcBorders>
              <w:top w:val="nil"/>
            </w:tcBorders>
          </w:tcPr>
          <w:p w14:paraId="2D29A26A">
            <w:pPr>
              <w:rPr>
                <w:sz w:val="2"/>
                <w:szCs w:val="2"/>
              </w:rPr>
            </w:pPr>
          </w:p>
        </w:tc>
        <w:tc>
          <w:tcPr>
            <w:tcW w:w="1736" w:type="dxa"/>
            <w:vMerge w:val="restart"/>
            <w:vAlign w:val="top"/>
          </w:tcPr>
          <w:p w14:paraId="748E8724">
            <w:pPr>
              <w:pStyle w:val="27"/>
              <w:spacing w:before="10"/>
              <w:jc w:val="center"/>
              <w:rPr>
                <w:rFonts w:ascii="楷体"/>
                <w:sz w:val="16"/>
              </w:rPr>
            </w:pPr>
          </w:p>
          <w:p w14:paraId="3356F1C2">
            <w:pPr>
              <w:pStyle w:val="27"/>
              <w:spacing w:line="266" w:lineRule="auto"/>
              <w:ind w:right="196"/>
              <w:jc w:val="center"/>
              <w:rPr>
                <w:sz w:val="22"/>
              </w:rPr>
            </w:pPr>
            <w:r>
              <w:rPr>
                <w:sz w:val="22"/>
              </w:rPr>
              <w:t>国家助学金</w:t>
            </w:r>
          </w:p>
        </w:tc>
        <w:tc>
          <w:tcPr>
            <w:tcW w:w="1781" w:type="dxa"/>
            <w:vAlign w:val="top"/>
          </w:tcPr>
          <w:p w14:paraId="37FE3499">
            <w:pPr>
              <w:pStyle w:val="27"/>
              <w:spacing w:before="54"/>
              <w:jc w:val="center"/>
              <w:rPr>
                <w:sz w:val="22"/>
              </w:rPr>
            </w:pPr>
            <w:r>
              <w:rPr>
                <w:sz w:val="22"/>
              </w:rPr>
              <w:t>助学金人次</w:t>
            </w:r>
          </w:p>
        </w:tc>
        <w:tc>
          <w:tcPr>
            <w:tcW w:w="1916" w:type="dxa"/>
            <w:shd w:val="clear" w:color="auto" w:fill="auto"/>
            <w:vAlign w:val="top"/>
          </w:tcPr>
          <w:p w14:paraId="6E2ED622">
            <w:pPr>
              <w:pStyle w:val="27"/>
              <w:spacing w:before="54"/>
              <w:jc w:val="center"/>
              <w:rPr>
                <w:rFonts w:ascii="宋体" w:hAnsi="宋体" w:eastAsia="宋体" w:cs="宋体"/>
                <w:kern w:val="2"/>
                <w:sz w:val="22"/>
                <w:szCs w:val="24"/>
                <w:lang w:val="en-US" w:eastAsia="zh-CN" w:bidi="ar-SA"/>
              </w:rPr>
            </w:pPr>
            <w:r>
              <w:rPr>
                <w:sz w:val="22"/>
              </w:rPr>
              <w:t>683</w:t>
            </w:r>
          </w:p>
        </w:tc>
        <w:tc>
          <w:tcPr>
            <w:tcW w:w="2018" w:type="dxa"/>
          </w:tcPr>
          <w:p w14:paraId="5942EE58">
            <w:pPr>
              <w:pStyle w:val="27"/>
              <w:spacing w:before="54"/>
              <w:jc w:val="center"/>
              <w:rPr>
                <w:rFonts w:hint="default" w:eastAsia="宋体"/>
                <w:sz w:val="22"/>
                <w:lang w:val="en-US" w:eastAsia="zh-CN"/>
              </w:rPr>
            </w:pPr>
            <w:r>
              <w:rPr>
                <w:rFonts w:hint="eastAsia"/>
                <w:sz w:val="22"/>
                <w:lang w:val="en-US" w:eastAsia="zh-CN"/>
              </w:rPr>
              <w:t>562</w:t>
            </w:r>
          </w:p>
        </w:tc>
      </w:tr>
      <w:tr w14:paraId="42C82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06" w:type="dxa"/>
            <w:vMerge w:val="continue"/>
            <w:tcBorders>
              <w:top w:val="nil"/>
            </w:tcBorders>
          </w:tcPr>
          <w:p w14:paraId="0E90BDA0">
            <w:pPr>
              <w:rPr>
                <w:sz w:val="2"/>
                <w:szCs w:val="2"/>
              </w:rPr>
            </w:pPr>
          </w:p>
        </w:tc>
        <w:tc>
          <w:tcPr>
            <w:tcW w:w="1736" w:type="dxa"/>
            <w:vMerge w:val="continue"/>
            <w:tcBorders>
              <w:top w:val="nil"/>
            </w:tcBorders>
            <w:vAlign w:val="top"/>
          </w:tcPr>
          <w:p w14:paraId="23B9A5AB">
            <w:pPr>
              <w:jc w:val="center"/>
              <w:rPr>
                <w:sz w:val="2"/>
                <w:szCs w:val="2"/>
              </w:rPr>
            </w:pPr>
          </w:p>
        </w:tc>
        <w:tc>
          <w:tcPr>
            <w:tcW w:w="1781" w:type="dxa"/>
            <w:vAlign w:val="top"/>
          </w:tcPr>
          <w:p w14:paraId="084E2646">
            <w:pPr>
              <w:pStyle w:val="27"/>
              <w:spacing w:before="16"/>
              <w:jc w:val="center"/>
              <w:rPr>
                <w:sz w:val="22"/>
              </w:rPr>
            </w:pPr>
            <w:r>
              <w:rPr>
                <w:sz w:val="22"/>
              </w:rPr>
              <w:t>助学金总金</w:t>
            </w:r>
            <w:r>
              <w:rPr>
                <w:w w:val="100"/>
                <w:sz w:val="22"/>
              </w:rPr>
              <w:t>额</w:t>
            </w:r>
          </w:p>
        </w:tc>
        <w:tc>
          <w:tcPr>
            <w:tcW w:w="1916" w:type="dxa"/>
            <w:shd w:val="clear" w:color="auto" w:fill="auto"/>
            <w:vAlign w:val="top"/>
          </w:tcPr>
          <w:p w14:paraId="49615FCD">
            <w:pPr>
              <w:pStyle w:val="27"/>
              <w:spacing w:before="171"/>
              <w:ind w:right="499" w:rightChars="0"/>
              <w:jc w:val="center"/>
              <w:rPr>
                <w:rFonts w:ascii="宋体" w:hAnsi="宋体" w:eastAsia="宋体" w:cs="宋体"/>
                <w:kern w:val="2"/>
                <w:sz w:val="22"/>
                <w:szCs w:val="24"/>
                <w:lang w:val="en-US" w:eastAsia="zh-CN" w:bidi="ar-SA"/>
              </w:rPr>
            </w:pPr>
            <w:r>
              <w:rPr>
                <w:rFonts w:hint="eastAsia"/>
                <w:sz w:val="22"/>
                <w:lang w:val="en-US" w:eastAsia="zh-CN"/>
              </w:rPr>
              <w:t xml:space="preserve">   </w:t>
            </w:r>
            <w:r>
              <w:rPr>
                <w:sz w:val="22"/>
              </w:rPr>
              <w:t>61.35</w:t>
            </w:r>
          </w:p>
        </w:tc>
        <w:tc>
          <w:tcPr>
            <w:tcW w:w="2018" w:type="dxa"/>
          </w:tcPr>
          <w:p w14:paraId="58B62DDC">
            <w:pPr>
              <w:pStyle w:val="27"/>
              <w:spacing w:before="171"/>
              <w:ind w:right="499"/>
              <w:jc w:val="center"/>
              <w:rPr>
                <w:rFonts w:hint="default" w:eastAsia="宋体"/>
                <w:sz w:val="22"/>
                <w:lang w:val="en-US" w:eastAsia="zh-CN"/>
              </w:rPr>
            </w:pPr>
            <w:r>
              <w:rPr>
                <w:rFonts w:hint="eastAsia"/>
                <w:sz w:val="22"/>
                <w:lang w:val="en-US" w:eastAsia="zh-CN"/>
              </w:rPr>
              <w:t xml:space="preserve">   71.58</w:t>
            </w:r>
          </w:p>
        </w:tc>
      </w:tr>
      <w:tr w14:paraId="6807A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6" w:type="dxa"/>
            <w:vMerge w:val="continue"/>
            <w:tcBorders>
              <w:top w:val="nil"/>
            </w:tcBorders>
          </w:tcPr>
          <w:p w14:paraId="60BF9DE0">
            <w:pPr>
              <w:rPr>
                <w:sz w:val="2"/>
                <w:szCs w:val="2"/>
              </w:rPr>
            </w:pPr>
          </w:p>
        </w:tc>
        <w:tc>
          <w:tcPr>
            <w:tcW w:w="1736" w:type="dxa"/>
            <w:vMerge w:val="restart"/>
            <w:vAlign w:val="top"/>
          </w:tcPr>
          <w:p w14:paraId="530855B2">
            <w:pPr>
              <w:pStyle w:val="27"/>
              <w:spacing w:before="176" w:line="266" w:lineRule="auto"/>
              <w:ind w:right="196"/>
              <w:jc w:val="center"/>
              <w:rPr>
                <w:sz w:val="22"/>
              </w:rPr>
            </w:pPr>
            <w:r>
              <w:rPr>
                <w:sz w:val="22"/>
              </w:rPr>
              <w:t>自治区人民政府中等职业教育奖学金</w:t>
            </w:r>
          </w:p>
        </w:tc>
        <w:tc>
          <w:tcPr>
            <w:tcW w:w="1781" w:type="dxa"/>
            <w:vAlign w:val="top"/>
          </w:tcPr>
          <w:p w14:paraId="3910EE7C">
            <w:pPr>
              <w:pStyle w:val="27"/>
              <w:spacing w:before="15"/>
              <w:jc w:val="center"/>
              <w:rPr>
                <w:sz w:val="22"/>
              </w:rPr>
            </w:pPr>
            <w:r>
              <w:rPr>
                <w:sz w:val="22"/>
              </w:rPr>
              <w:t>获奖学生人</w:t>
            </w:r>
            <w:r>
              <w:rPr>
                <w:w w:val="100"/>
                <w:sz w:val="22"/>
              </w:rPr>
              <w:t>次</w:t>
            </w:r>
          </w:p>
        </w:tc>
        <w:tc>
          <w:tcPr>
            <w:tcW w:w="1916" w:type="dxa"/>
            <w:shd w:val="clear" w:color="auto" w:fill="auto"/>
            <w:vAlign w:val="top"/>
          </w:tcPr>
          <w:p w14:paraId="0F6793AF">
            <w:pPr>
              <w:pStyle w:val="27"/>
              <w:spacing w:before="171"/>
              <w:ind w:right="650" w:rightChars="0"/>
              <w:jc w:val="center"/>
              <w:rPr>
                <w:rFonts w:ascii="宋体" w:hAnsi="宋体" w:eastAsia="宋体" w:cs="宋体"/>
                <w:kern w:val="2"/>
                <w:sz w:val="22"/>
                <w:szCs w:val="24"/>
                <w:lang w:val="en-US" w:eastAsia="zh-CN" w:bidi="ar-SA"/>
              </w:rPr>
            </w:pPr>
            <w:r>
              <w:rPr>
                <w:rFonts w:hint="eastAsia"/>
                <w:sz w:val="22"/>
                <w:lang w:val="en-US" w:eastAsia="zh-CN"/>
              </w:rPr>
              <w:t xml:space="preserve">     </w:t>
            </w:r>
            <w:r>
              <w:rPr>
                <w:sz w:val="22"/>
              </w:rPr>
              <w:t>24</w:t>
            </w:r>
          </w:p>
        </w:tc>
        <w:tc>
          <w:tcPr>
            <w:tcW w:w="2018" w:type="dxa"/>
          </w:tcPr>
          <w:p w14:paraId="5707C4ED">
            <w:pPr>
              <w:pStyle w:val="27"/>
              <w:spacing w:before="171"/>
              <w:ind w:right="650"/>
              <w:jc w:val="center"/>
              <w:rPr>
                <w:sz w:val="22"/>
              </w:rPr>
            </w:pPr>
            <w:r>
              <w:rPr>
                <w:rFonts w:hint="eastAsia"/>
                <w:sz w:val="22"/>
                <w:lang w:val="en-US" w:eastAsia="zh-CN"/>
              </w:rPr>
              <w:t xml:space="preserve">    </w:t>
            </w:r>
            <w:r>
              <w:rPr>
                <w:sz w:val="22"/>
              </w:rPr>
              <w:t>24</w:t>
            </w:r>
          </w:p>
        </w:tc>
      </w:tr>
      <w:tr w14:paraId="25243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6" w:type="dxa"/>
            <w:vMerge w:val="continue"/>
            <w:tcBorders>
              <w:top w:val="nil"/>
            </w:tcBorders>
          </w:tcPr>
          <w:p w14:paraId="3630010C">
            <w:pPr>
              <w:rPr>
                <w:sz w:val="2"/>
                <w:szCs w:val="2"/>
              </w:rPr>
            </w:pPr>
          </w:p>
        </w:tc>
        <w:tc>
          <w:tcPr>
            <w:tcW w:w="1736" w:type="dxa"/>
            <w:vMerge w:val="continue"/>
            <w:tcBorders>
              <w:top w:val="nil"/>
            </w:tcBorders>
            <w:vAlign w:val="top"/>
          </w:tcPr>
          <w:p w14:paraId="62D2CBF6">
            <w:pPr>
              <w:jc w:val="center"/>
              <w:rPr>
                <w:sz w:val="2"/>
                <w:szCs w:val="2"/>
              </w:rPr>
            </w:pPr>
          </w:p>
        </w:tc>
        <w:tc>
          <w:tcPr>
            <w:tcW w:w="1781" w:type="dxa"/>
            <w:vAlign w:val="top"/>
          </w:tcPr>
          <w:p w14:paraId="26858F54">
            <w:pPr>
              <w:pStyle w:val="27"/>
              <w:spacing w:before="15"/>
              <w:jc w:val="center"/>
              <w:rPr>
                <w:sz w:val="22"/>
              </w:rPr>
            </w:pPr>
            <w:r>
              <w:rPr>
                <w:sz w:val="22"/>
              </w:rPr>
              <w:t>奖学金总金</w:t>
            </w:r>
            <w:r>
              <w:rPr>
                <w:w w:val="100"/>
                <w:sz w:val="22"/>
              </w:rPr>
              <w:t>额</w:t>
            </w:r>
          </w:p>
        </w:tc>
        <w:tc>
          <w:tcPr>
            <w:tcW w:w="1916" w:type="dxa"/>
            <w:shd w:val="clear" w:color="auto" w:fill="auto"/>
            <w:vAlign w:val="top"/>
          </w:tcPr>
          <w:p w14:paraId="04A3CE6F">
            <w:pPr>
              <w:pStyle w:val="27"/>
              <w:spacing w:before="171"/>
              <w:jc w:val="center"/>
              <w:rPr>
                <w:rFonts w:ascii="宋体" w:hAnsi="宋体" w:eastAsia="宋体" w:cs="宋体"/>
                <w:kern w:val="2"/>
                <w:sz w:val="22"/>
                <w:szCs w:val="24"/>
                <w:lang w:val="en-US" w:eastAsia="zh-CN" w:bidi="ar-SA"/>
              </w:rPr>
            </w:pPr>
            <w:r>
              <w:rPr>
                <w:sz w:val="22"/>
              </w:rPr>
              <w:t>4.8</w:t>
            </w:r>
          </w:p>
        </w:tc>
        <w:tc>
          <w:tcPr>
            <w:tcW w:w="2018" w:type="dxa"/>
          </w:tcPr>
          <w:p w14:paraId="1CBFEDD9">
            <w:pPr>
              <w:pStyle w:val="27"/>
              <w:spacing w:before="171"/>
              <w:jc w:val="center"/>
              <w:rPr>
                <w:sz w:val="22"/>
              </w:rPr>
            </w:pPr>
            <w:r>
              <w:rPr>
                <w:sz w:val="22"/>
              </w:rPr>
              <w:t>4.8</w:t>
            </w:r>
          </w:p>
        </w:tc>
      </w:tr>
      <w:tr w14:paraId="381D2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6" w:type="dxa"/>
            <w:vMerge w:val="continue"/>
            <w:tcBorders>
              <w:top w:val="nil"/>
            </w:tcBorders>
          </w:tcPr>
          <w:p w14:paraId="4E33BC61">
            <w:pPr>
              <w:rPr>
                <w:sz w:val="2"/>
                <w:szCs w:val="2"/>
              </w:rPr>
            </w:pPr>
          </w:p>
        </w:tc>
        <w:tc>
          <w:tcPr>
            <w:tcW w:w="1736" w:type="dxa"/>
            <w:vMerge w:val="restart"/>
            <w:vAlign w:val="top"/>
          </w:tcPr>
          <w:p w14:paraId="7D43A978">
            <w:pPr>
              <w:pStyle w:val="27"/>
              <w:spacing w:before="177" w:line="266" w:lineRule="auto"/>
              <w:ind w:right="196"/>
              <w:jc w:val="center"/>
              <w:rPr>
                <w:sz w:val="22"/>
              </w:rPr>
            </w:pPr>
            <w:r>
              <w:rPr>
                <w:sz w:val="22"/>
              </w:rPr>
              <w:t>中等职业教育国家奖学</w:t>
            </w:r>
            <w:r>
              <w:rPr>
                <w:w w:val="100"/>
                <w:sz w:val="22"/>
              </w:rPr>
              <w:t>金</w:t>
            </w:r>
          </w:p>
        </w:tc>
        <w:tc>
          <w:tcPr>
            <w:tcW w:w="1781" w:type="dxa"/>
            <w:vAlign w:val="top"/>
          </w:tcPr>
          <w:p w14:paraId="78CD880B">
            <w:pPr>
              <w:pStyle w:val="27"/>
              <w:spacing w:before="17"/>
              <w:jc w:val="center"/>
              <w:rPr>
                <w:sz w:val="22"/>
              </w:rPr>
            </w:pPr>
            <w:r>
              <w:rPr>
                <w:sz w:val="22"/>
              </w:rPr>
              <w:t>获奖学生人</w:t>
            </w:r>
            <w:r>
              <w:rPr>
                <w:w w:val="100"/>
                <w:sz w:val="22"/>
              </w:rPr>
              <w:t>次</w:t>
            </w:r>
          </w:p>
        </w:tc>
        <w:tc>
          <w:tcPr>
            <w:tcW w:w="1916" w:type="dxa"/>
            <w:shd w:val="clear" w:color="auto" w:fill="auto"/>
            <w:vAlign w:val="top"/>
          </w:tcPr>
          <w:p w14:paraId="457D45BB">
            <w:pPr>
              <w:pStyle w:val="27"/>
              <w:spacing w:before="173"/>
              <w:jc w:val="center"/>
              <w:rPr>
                <w:rFonts w:ascii="宋体" w:hAnsi="宋体" w:eastAsia="宋体" w:cs="宋体"/>
                <w:kern w:val="2"/>
                <w:sz w:val="22"/>
                <w:szCs w:val="24"/>
                <w:lang w:val="en-US" w:eastAsia="zh-CN" w:bidi="ar-SA"/>
              </w:rPr>
            </w:pPr>
            <w:r>
              <w:rPr>
                <w:w w:val="100"/>
                <w:sz w:val="22"/>
              </w:rPr>
              <w:t>2</w:t>
            </w:r>
          </w:p>
        </w:tc>
        <w:tc>
          <w:tcPr>
            <w:tcW w:w="2018" w:type="dxa"/>
          </w:tcPr>
          <w:p w14:paraId="3A23E244">
            <w:pPr>
              <w:pStyle w:val="27"/>
              <w:spacing w:before="173"/>
              <w:jc w:val="center"/>
              <w:rPr>
                <w:rFonts w:hint="eastAsia" w:eastAsia="宋体"/>
                <w:sz w:val="22"/>
                <w:lang w:eastAsia="zh-CN"/>
              </w:rPr>
            </w:pPr>
            <w:r>
              <w:rPr>
                <w:rFonts w:hint="eastAsia"/>
                <w:w w:val="100"/>
                <w:sz w:val="22"/>
                <w:lang w:val="en-US" w:eastAsia="zh-CN"/>
              </w:rPr>
              <w:t>1</w:t>
            </w:r>
          </w:p>
        </w:tc>
      </w:tr>
      <w:tr w14:paraId="09A51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6" w:type="dxa"/>
            <w:vMerge w:val="continue"/>
            <w:tcBorders>
              <w:top w:val="nil"/>
            </w:tcBorders>
          </w:tcPr>
          <w:p w14:paraId="72567022">
            <w:pPr>
              <w:rPr>
                <w:sz w:val="2"/>
                <w:szCs w:val="2"/>
              </w:rPr>
            </w:pPr>
          </w:p>
        </w:tc>
        <w:tc>
          <w:tcPr>
            <w:tcW w:w="1736" w:type="dxa"/>
            <w:vMerge w:val="continue"/>
            <w:tcBorders>
              <w:top w:val="nil"/>
            </w:tcBorders>
            <w:vAlign w:val="top"/>
          </w:tcPr>
          <w:p w14:paraId="0BB9824F">
            <w:pPr>
              <w:jc w:val="center"/>
              <w:rPr>
                <w:sz w:val="2"/>
                <w:szCs w:val="2"/>
              </w:rPr>
            </w:pPr>
          </w:p>
        </w:tc>
        <w:tc>
          <w:tcPr>
            <w:tcW w:w="1781" w:type="dxa"/>
            <w:vAlign w:val="top"/>
          </w:tcPr>
          <w:p w14:paraId="311F0678">
            <w:pPr>
              <w:pStyle w:val="27"/>
              <w:spacing w:before="16"/>
              <w:jc w:val="center"/>
              <w:rPr>
                <w:sz w:val="22"/>
              </w:rPr>
            </w:pPr>
            <w:r>
              <w:rPr>
                <w:sz w:val="22"/>
              </w:rPr>
              <w:t>奖学金总金</w:t>
            </w:r>
            <w:r>
              <w:rPr>
                <w:w w:val="100"/>
                <w:sz w:val="22"/>
              </w:rPr>
              <w:t>额</w:t>
            </w:r>
          </w:p>
        </w:tc>
        <w:tc>
          <w:tcPr>
            <w:tcW w:w="1916" w:type="dxa"/>
            <w:shd w:val="clear" w:color="auto" w:fill="auto"/>
            <w:vAlign w:val="top"/>
          </w:tcPr>
          <w:p w14:paraId="5D91D1E0">
            <w:pPr>
              <w:pStyle w:val="27"/>
              <w:spacing w:before="172"/>
              <w:jc w:val="center"/>
              <w:rPr>
                <w:rFonts w:ascii="宋体" w:hAnsi="宋体" w:eastAsia="宋体" w:cs="宋体"/>
                <w:kern w:val="2"/>
                <w:sz w:val="22"/>
                <w:szCs w:val="24"/>
                <w:lang w:val="en-US" w:eastAsia="zh-CN" w:bidi="ar-SA"/>
              </w:rPr>
            </w:pPr>
            <w:r>
              <w:rPr>
                <w:sz w:val="22"/>
              </w:rPr>
              <w:t>1.2</w:t>
            </w:r>
          </w:p>
        </w:tc>
        <w:tc>
          <w:tcPr>
            <w:tcW w:w="2018" w:type="dxa"/>
          </w:tcPr>
          <w:p w14:paraId="77D85F15">
            <w:pPr>
              <w:pStyle w:val="27"/>
              <w:spacing w:before="172"/>
              <w:jc w:val="center"/>
              <w:rPr>
                <w:rFonts w:hint="default" w:eastAsia="宋体"/>
                <w:sz w:val="22"/>
                <w:lang w:val="en-US" w:eastAsia="zh-CN"/>
              </w:rPr>
            </w:pPr>
            <w:r>
              <w:rPr>
                <w:rFonts w:hint="eastAsia"/>
                <w:sz w:val="22"/>
                <w:lang w:val="en-US" w:eastAsia="zh-CN"/>
              </w:rPr>
              <w:t>0.6</w:t>
            </w:r>
          </w:p>
        </w:tc>
      </w:tr>
      <w:tr w14:paraId="71379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206" w:type="dxa"/>
            <w:vMerge w:val="continue"/>
            <w:tcBorders>
              <w:top w:val="nil"/>
            </w:tcBorders>
          </w:tcPr>
          <w:p w14:paraId="38C26524">
            <w:pPr>
              <w:rPr>
                <w:sz w:val="2"/>
                <w:szCs w:val="2"/>
              </w:rPr>
            </w:pPr>
          </w:p>
        </w:tc>
        <w:tc>
          <w:tcPr>
            <w:tcW w:w="1736" w:type="dxa"/>
            <w:vMerge w:val="restart"/>
          </w:tcPr>
          <w:p w14:paraId="3F47761D">
            <w:pPr>
              <w:pStyle w:val="27"/>
              <w:spacing w:before="16" w:line="266" w:lineRule="auto"/>
              <w:ind w:right="141"/>
              <w:rPr>
                <w:sz w:val="22"/>
              </w:rPr>
            </w:pPr>
            <w:r>
              <w:rPr>
                <w:sz w:val="22"/>
              </w:rPr>
              <w:t>家庭经济困难大学新生入学资助</w:t>
            </w:r>
          </w:p>
        </w:tc>
        <w:tc>
          <w:tcPr>
            <w:tcW w:w="1781" w:type="dxa"/>
          </w:tcPr>
          <w:p w14:paraId="79434786">
            <w:pPr>
              <w:pStyle w:val="27"/>
              <w:spacing w:before="54"/>
              <w:ind w:left="547"/>
              <w:rPr>
                <w:sz w:val="22"/>
              </w:rPr>
            </w:pPr>
            <w:r>
              <w:rPr>
                <w:sz w:val="22"/>
              </w:rPr>
              <w:t>资助人次</w:t>
            </w:r>
          </w:p>
        </w:tc>
        <w:tc>
          <w:tcPr>
            <w:tcW w:w="1916" w:type="dxa"/>
            <w:shd w:val="clear" w:color="auto" w:fill="auto"/>
            <w:vAlign w:val="top"/>
          </w:tcPr>
          <w:p w14:paraId="136201B9">
            <w:pPr>
              <w:pStyle w:val="27"/>
              <w:spacing w:before="54"/>
              <w:ind w:right="650" w:rightChars="0"/>
              <w:jc w:val="center"/>
              <w:rPr>
                <w:rFonts w:ascii="宋体" w:hAnsi="宋体" w:eastAsia="宋体" w:cs="宋体"/>
                <w:kern w:val="2"/>
                <w:sz w:val="22"/>
                <w:szCs w:val="24"/>
                <w:lang w:val="en-US" w:eastAsia="zh-CN" w:bidi="ar-SA"/>
              </w:rPr>
            </w:pPr>
            <w:r>
              <w:rPr>
                <w:rFonts w:hint="eastAsia"/>
                <w:sz w:val="22"/>
                <w:lang w:val="en-US" w:eastAsia="zh-CN"/>
              </w:rPr>
              <w:t xml:space="preserve">    </w:t>
            </w:r>
            <w:r>
              <w:rPr>
                <w:sz w:val="22"/>
              </w:rPr>
              <w:t>33</w:t>
            </w:r>
          </w:p>
        </w:tc>
        <w:tc>
          <w:tcPr>
            <w:tcW w:w="2018" w:type="dxa"/>
          </w:tcPr>
          <w:p w14:paraId="514582B6">
            <w:pPr>
              <w:pStyle w:val="27"/>
              <w:spacing w:before="54"/>
              <w:ind w:right="650"/>
              <w:jc w:val="center"/>
              <w:rPr>
                <w:rFonts w:hint="default" w:eastAsia="宋体"/>
                <w:sz w:val="22"/>
                <w:lang w:val="en-US" w:eastAsia="zh-CN"/>
              </w:rPr>
            </w:pPr>
            <w:r>
              <w:rPr>
                <w:rFonts w:hint="eastAsia"/>
                <w:sz w:val="22"/>
                <w:lang w:val="en-US" w:eastAsia="zh-CN"/>
              </w:rPr>
              <w:t xml:space="preserve">    25</w:t>
            </w:r>
          </w:p>
        </w:tc>
      </w:tr>
      <w:tr w14:paraId="669D60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206" w:type="dxa"/>
            <w:vMerge w:val="continue"/>
            <w:tcBorders>
              <w:top w:val="nil"/>
            </w:tcBorders>
          </w:tcPr>
          <w:p w14:paraId="3D23BEC0">
            <w:pPr>
              <w:rPr>
                <w:sz w:val="2"/>
                <w:szCs w:val="2"/>
              </w:rPr>
            </w:pPr>
          </w:p>
        </w:tc>
        <w:tc>
          <w:tcPr>
            <w:tcW w:w="1736" w:type="dxa"/>
            <w:vMerge w:val="continue"/>
            <w:tcBorders>
              <w:top w:val="nil"/>
            </w:tcBorders>
          </w:tcPr>
          <w:p w14:paraId="0BE31FF6">
            <w:pPr>
              <w:rPr>
                <w:sz w:val="2"/>
                <w:szCs w:val="2"/>
              </w:rPr>
            </w:pPr>
          </w:p>
        </w:tc>
        <w:tc>
          <w:tcPr>
            <w:tcW w:w="1781" w:type="dxa"/>
          </w:tcPr>
          <w:p w14:paraId="79264144">
            <w:pPr>
              <w:pStyle w:val="27"/>
              <w:spacing w:before="126"/>
              <w:ind w:left="547"/>
              <w:rPr>
                <w:sz w:val="22"/>
              </w:rPr>
            </w:pPr>
            <w:r>
              <w:rPr>
                <w:sz w:val="22"/>
              </w:rPr>
              <w:t>资助总金额</w:t>
            </w:r>
          </w:p>
        </w:tc>
        <w:tc>
          <w:tcPr>
            <w:tcW w:w="1916" w:type="dxa"/>
            <w:shd w:val="clear" w:color="auto" w:fill="auto"/>
            <w:vAlign w:val="top"/>
          </w:tcPr>
          <w:p w14:paraId="257CC860">
            <w:pPr>
              <w:pStyle w:val="27"/>
              <w:spacing w:before="126"/>
              <w:jc w:val="center"/>
              <w:rPr>
                <w:rFonts w:ascii="宋体" w:hAnsi="宋体" w:eastAsia="宋体" w:cs="宋体"/>
                <w:kern w:val="2"/>
                <w:sz w:val="22"/>
                <w:szCs w:val="24"/>
                <w:lang w:val="en-US" w:eastAsia="zh-CN" w:bidi="ar-SA"/>
              </w:rPr>
            </w:pPr>
            <w:r>
              <w:rPr>
                <w:sz w:val="22"/>
              </w:rPr>
              <w:t>1.9</w:t>
            </w:r>
          </w:p>
        </w:tc>
        <w:tc>
          <w:tcPr>
            <w:tcW w:w="2018" w:type="dxa"/>
          </w:tcPr>
          <w:p w14:paraId="2EBEE513">
            <w:pPr>
              <w:pStyle w:val="27"/>
              <w:spacing w:before="126"/>
              <w:jc w:val="center"/>
              <w:rPr>
                <w:rFonts w:hint="default" w:eastAsia="宋体"/>
                <w:sz w:val="22"/>
                <w:lang w:val="en-US" w:eastAsia="zh-CN"/>
              </w:rPr>
            </w:pPr>
            <w:r>
              <w:rPr>
                <w:rFonts w:hint="eastAsia"/>
                <w:sz w:val="22"/>
                <w:lang w:val="en-US" w:eastAsia="zh-CN"/>
              </w:rPr>
              <w:t>1.45</w:t>
            </w:r>
          </w:p>
        </w:tc>
      </w:tr>
      <w:tr w14:paraId="4507F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206" w:type="dxa"/>
            <w:vMerge w:val="continue"/>
            <w:tcBorders>
              <w:top w:val="nil"/>
            </w:tcBorders>
          </w:tcPr>
          <w:p w14:paraId="3A206F75">
            <w:pPr>
              <w:rPr>
                <w:sz w:val="2"/>
                <w:szCs w:val="2"/>
              </w:rPr>
            </w:pPr>
          </w:p>
        </w:tc>
        <w:tc>
          <w:tcPr>
            <w:tcW w:w="1736" w:type="dxa"/>
            <w:vMerge w:val="restart"/>
            <w:vAlign w:val="top"/>
          </w:tcPr>
          <w:p w14:paraId="131C8707">
            <w:pPr>
              <w:pStyle w:val="27"/>
              <w:spacing w:before="104" w:line="266" w:lineRule="auto"/>
              <w:ind w:right="196"/>
              <w:jc w:val="center"/>
              <w:rPr>
                <w:sz w:val="22"/>
              </w:rPr>
            </w:pPr>
            <w:r>
              <w:rPr>
                <w:sz w:val="22"/>
              </w:rPr>
              <w:t>校内助学金</w:t>
            </w:r>
          </w:p>
        </w:tc>
        <w:tc>
          <w:tcPr>
            <w:tcW w:w="1781" w:type="dxa"/>
            <w:vAlign w:val="top"/>
          </w:tcPr>
          <w:p w14:paraId="73C1D56E">
            <w:pPr>
              <w:pStyle w:val="27"/>
              <w:spacing w:before="54"/>
              <w:ind w:left="547"/>
              <w:jc w:val="both"/>
              <w:rPr>
                <w:sz w:val="22"/>
              </w:rPr>
            </w:pPr>
            <w:r>
              <w:rPr>
                <w:sz w:val="22"/>
              </w:rPr>
              <w:t>资助人次</w:t>
            </w:r>
          </w:p>
        </w:tc>
        <w:tc>
          <w:tcPr>
            <w:tcW w:w="1916" w:type="dxa"/>
            <w:shd w:val="clear" w:color="auto" w:fill="auto"/>
            <w:vAlign w:val="top"/>
          </w:tcPr>
          <w:p w14:paraId="00AFEE68">
            <w:pPr>
              <w:pStyle w:val="27"/>
              <w:spacing w:before="54"/>
              <w:jc w:val="center"/>
              <w:rPr>
                <w:rFonts w:ascii="宋体" w:hAnsi="宋体" w:eastAsia="宋体" w:cs="宋体"/>
                <w:kern w:val="2"/>
                <w:sz w:val="22"/>
                <w:szCs w:val="24"/>
                <w:lang w:val="en-US" w:eastAsia="zh-CN" w:bidi="ar-SA"/>
              </w:rPr>
            </w:pPr>
            <w:r>
              <w:rPr>
                <w:w w:val="100"/>
                <w:sz w:val="22"/>
              </w:rPr>
              <w:t>7</w:t>
            </w:r>
          </w:p>
        </w:tc>
        <w:tc>
          <w:tcPr>
            <w:tcW w:w="2018" w:type="dxa"/>
          </w:tcPr>
          <w:p w14:paraId="5C61DE48">
            <w:pPr>
              <w:pStyle w:val="27"/>
              <w:spacing w:before="54"/>
              <w:jc w:val="center"/>
              <w:rPr>
                <w:rFonts w:hint="eastAsia" w:eastAsia="宋体"/>
                <w:sz w:val="22"/>
                <w:lang w:eastAsia="zh-CN"/>
              </w:rPr>
            </w:pPr>
            <w:r>
              <w:rPr>
                <w:rFonts w:hint="eastAsia"/>
                <w:w w:val="100"/>
                <w:sz w:val="22"/>
                <w:lang w:val="en-US" w:eastAsia="zh-CN"/>
              </w:rPr>
              <w:t>4</w:t>
            </w:r>
          </w:p>
        </w:tc>
      </w:tr>
      <w:tr w14:paraId="5D484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206" w:type="dxa"/>
            <w:vMerge w:val="continue"/>
            <w:tcBorders>
              <w:top w:val="nil"/>
            </w:tcBorders>
          </w:tcPr>
          <w:p w14:paraId="42854A0D">
            <w:pPr>
              <w:rPr>
                <w:sz w:val="2"/>
                <w:szCs w:val="2"/>
              </w:rPr>
            </w:pPr>
          </w:p>
        </w:tc>
        <w:tc>
          <w:tcPr>
            <w:tcW w:w="1736" w:type="dxa"/>
            <w:vMerge w:val="continue"/>
            <w:tcBorders>
              <w:top w:val="nil"/>
            </w:tcBorders>
            <w:vAlign w:val="top"/>
          </w:tcPr>
          <w:p w14:paraId="5700C323">
            <w:pPr>
              <w:jc w:val="center"/>
              <w:rPr>
                <w:sz w:val="2"/>
                <w:szCs w:val="2"/>
              </w:rPr>
            </w:pPr>
          </w:p>
        </w:tc>
        <w:tc>
          <w:tcPr>
            <w:tcW w:w="1781" w:type="dxa"/>
            <w:vAlign w:val="center"/>
          </w:tcPr>
          <w:p w14:paraId="634A1A82">
            <w:pPr>
              <w:pStyle w:val="27"/>
              <w:spacing w:before="61"/>
              <w:jc w:val="center"/>
              <w:rPr>
                <w:sz w:val="22"/>
              </w:rPr>
            </w:pPr>
            <w:r>
              <w:rPr>
                <w:sz w:val="22"/>
              </w:rPr>
              <w:t>资助总金额</w:t>
            </w:r>
          </w:p>
        </w:tc>
        <w:tc>
          <w:tcPr>
            <w:tcW w:w="1916" w:type="dxa"/>
            <w:shd w:val="clear" w:color="auto" w:fill="auto"/>
            <w:vAlign w:val="top"/>
          </w:tcPr>
          <w:p w14:paraId="0ECA751D">
            <w:pPr>
              <w:pStyle w:val="27"/>
              <w:spacing w:before="61"/>
              <w:jc w:val="center"/>
              <w:rPr>
                <w:rFonts w:ascii="宋体" w:hAnsi="宋体" w:eastAsia="宋体" w:cs="宋体"/>
                <w:kern w:val="2"/>
                <w:sz w:val="22"/>
                <w:szCs w:val="24"/>
                <w:lang w:val="en-US" w:eastAsia="zh-CN" w:bidi="ar-SA"/>
              </w:rPr>
            </w:pPr>
            <w:r>
              <w:rPr>
                <w:sz w:val="22"/>
              </w:rPr>
              <w:t>0.75</w:t>
            </w:r>
          </w:p>
        </w:tc>
        <w:tc>
          <w:tcPr>
            <w:tcW w:w="2018" w:type="dxa"/>
          </w:tcPr>
          <w:p w14:paraId="6698CD96">
            <w:pPr>
              <w:pStyle w:val="27"/>
              <w:spacing w:before="61"/>
              <w:jc w:val="center"/>
              <w:rPr>
                <w:rFonts w:hint="default" w:eastAsia="宋体"/>
                <w:sz w:val="22"/>
                <w:lang w:val="en-US" w:eastAsia="zh-CN"/>
              </w:rPr>
            </w:pPr>
            <w:r>
              <w:rPr>
                <w:rFonts w:hint="eastAsia"/>
                <w:sz w:val="22"/>
                <w:lang w:val="en-US" w:eastAsia="zh-CN"/>
              </w:rPr>
              <w:t>0.66</w:t>
            </w:r>
          </w:p>
        </w:tc>
      </w:tr>
    </w:tbl>
    <w:p w14:paraId="23738DB7">
      <w:pPr>
        <w:pStyle w:val="3"/>
        <w:numPr>
          <w:ilvl w:val="0"/>
          <w:numId w:val="8"/>
        </w:numPr>
        <w:topLinePunct w:val="0"/>
        <w:ind w:left="0" w:leftChars="0" w:firstLine="640" w:firstLineChars="0"/>
        <w:rPr>
          <w:rFonts w:hint="eastAsia" w:ascii="楷体_GB2312" w:hAnsi="楷体_GB2312" w:eastAsia="楷体_GB2312" w:cs="楷体_GB2312"/>
          <w:b w:val="0"/>
        </w:rPr>
      </w:pPr>
      <w:bookmarkStart w:id="68" w:name="_Toc8123"/>
      <w:r>
        <w:t>质量保证</w:t>
      </w:r>
      <w:bookmarkEnd w:id="68"/>
    </w:p>
    <w:p w14:paraId="3F0E7DB8">
      <w:pPr>
        <w:pStyle w:val="12"/>
      </w:pPr>
      <w:r>
        <w:t>坚持以习近平新时代中国特色社会主义思想为指导，深入学习贯彻党的二十大精神，认真落实中共中央办公厅、国务院办公厅印发的《关于推动现代职业教育高质量发展的意见》及《实施巩固中等职业教育基础地位专项行动（2022—2025 年）》的通知精神，以推进学校办学条件达标建设、加快专业群建设等主要任务为抓手，着力夯实基础、补齐短板，不断深化改革、激发活力，加快构建纵向贯通、横向融通的现代职业教育体系，不断提升职业教育办学水平，进一步巩固职业教育重要基础地位。</w:t>
      </w:r>
    </w:p>
    <w:p w14:paraId="06CA7FE4">
      <w:pPr>
        <w:pStyle w:val="12"/>
      </w:pPr>
      <w:r>
        <w:t>学校建立质量保证体系，定期开展教学质量监测与评价。学校建立教师考核制度，每年进行教师考核，建立健全教师培训制度。学校建立学生满意度调查制度，定期开展学生满意度调查，及时改进教育教学工作。</w:t>
      </w:r>
    </w:p>
    <w:p w14:paraId="72451D6A">
      <w:pPr>
        <w:pStyle w:val="3"/>
        <w:numPr>
          <w:ilvl w:val="0"/>
          <w:numId w:val="8"/>
        </w:numPr>
        <w:topLinePunct w:val="0"/>
        <w:ind w:left="0" w:leftChars="0" w:firstLine="640" w:firstLineChars="0"/>
        <w:rPr>
          <w:rFonts w:hint="eastAsia" w:ascii="楷体_GB2312" w:hAnsi="楷体_GB2312" w:eastAsia="楷体_GB2312" w:cs="楷体_GB2312"/>
          <w:b w:val="0"/>
        </w:rPr>
      </w:pPr>
      <w:bookmarkStart w:id="69" w:name="_Toc23599"/>
      <w:r>
        <w:t>经费保障</w:t>
      </w:r>
      <w:bookmarkEnd w:id="69"/>
    </w:p>
    <w:p w14:paraId="3C979519">
      <w:pPr>
        <w:pStyle w:val="12"/>
      </w:pPr>
      <w:r>
        <w:t>学校建立经费投入长效机制，确保学校经费投入稳步提高。学校财务情况按正常的财务会计报告制度执行，并自觉接受上级行政部门进行正常的财务监督和审计。学校从无违法违规，无跨年度收费，没有发生收退费纠纷等现象。</w:t>
      </w:r>
    </w:p>
    <w:p w14:paraId="20D37FB1">
      <w:pPr>
        <w:pStyle w:val="12"/>
      </w:pPr>
      <w:r>
        <w:t>学校高度重视中职教育的创新与持续发展，建立经费投入长效机制，确保学校经费投入稳步提高。2025年度，学校共投入经费 1320.13万元，其中师资培训支出21.32万元；设备设施购买、建设支出38.90万元；新建高铁站校区校舍建设支出612多万元。增加了电脑实训室等数字化校园等，学校的软、硬件设 施得到了进一步的升级，校园环境得到了改善，提升了教师的综合素质，为学校教育教学质量的提高提供有力保障。</w:t>
      </w:r>
    </w:p>
    <w:p w14:paraId="0578DFF5">
      <w:pPr>
        <w:pStyle w:val="2"/>
        <w:numPr>
          <w:ilvl w:val="0"/>
          <w:numId w:val="1"/>
        </w:numPr>
        <w:topLinePunct w:val="0"/>
        <w:ind w:left="0" w:leftChars="0" w:firstLine="640" w:firstLineChars="0"/>
        <w:rPr>
          <w:b w:val="0"/>
        </w:rPr>
      </w:pPr>
      <w:bookmarkStart w:id="70" w:name="_Toc11805"/>
      <w:r>
        <w:t>面临挑战</w:t>
      </w:r>
      <w:bookmarkEnd w:id="70"/>
    </w:p>
    <w:p w14:paraId="0556EC13">
      <w:pPr>
        <w:pStyle w:val="3"/>
        <w:numPr>
          <w:ilvl w:val="0"/>
          <w:numId w:val="10"/>
        </w:numPr>
        <w:topLinePunct w:val="0"/>
        <w:ind w:left="0" w:leftChars="0" w:firstLine="640" w:firstLineChars="0"/>
        <w:rPr>
          <w:rFonts w:hint="eastAsia" w:ascii="楷体_GB2312" w:hAnsi="楷体_GB2312" w:eastAsia="楷体_GB2312" w:cs="楷体_GB2312"/>
          <w:b w:val="0"/>
        </w:rPr>
      </w:pPr>
      <w:bookmarkStart w:id="71" w:name="_Toc13730"/>
      <w:r>
        <w:t>面临挑战</w:t>
      </w:r>
      <w:bookmarkEnd w:id="71"/>
    </w:p>
    <w:p w14:paraId="563C70BE">
      <w:pPr>
        <w:pStyle w:val="12"/>
        <w:numPr>
          <w:ilvl w:val="0"/>
          <w:numId w:val="11"/>
        </w:numPr>
        <w:topLinePunct w:val="0"/>
        <w:ind w:left="0" w:leftChars="0" w:firstLine="616" w:firstLineChars="0"/>
        <w:rPr>
          <w:rFonts w:hint="eastAsia" w:ascii="仿宋_GB2312" w:hAnsi="仿宋_GB2312" w:eastAsia="仿宋_GB2312" w:cs="仿宋_GB2312"/>
          <w:b w:val="0"/>
        </w:rPr>
      </w:pPr>
      <w:r>
        <w:rPr>
          <w:rStyle w:val="30"/>
        </w:rPr>
        <w:t>招生困境突出，生源外流严重</w:t>
      </w:r>
      <w:r>
        <w:t>。这是我校当前最严峻的挑战之一。</w:t>
      </w:r>
    </w:p>
    <w:p w14:paraId="172CB841">
      <w:pPr>
        <w:pStyle w:val="12"/>
        <w:numPr>
          <w:ilvl w:val="0"/>
          <w:numId w:val="11"/>
        </w:numPr>
        <w:topLinePunct w:val="0"/>
        <w:ind w:left="0" w:leftChars="0" w:firstLine="616" w:firstLineChars="0"/>
        <w:rPr>
          <w:rFonts w:hint="eastAsia" w:ascii="仿宋_GB2312" w:hAnsi="仿宋_GB2312" w:eastAsia="仿宋_GB2312" w:cs="仿宋_GB2312"/>
          <w:b w:val="0"/>
        </w:rPr>
      </w:pPr>
      <w:r>
        <w:rPr>
          <w:rStyle w:val="30"/>
        </w:rPr>
        <w:t>师资建设乏力，人才引进困难</w:t>
      </w:r>
      <w:r>
        <w:t>。民办学校在引进高水平“双师型”教师、专业带头人和行业专家方面，缺乏政策吸引力。</w:t>
      </w:r>
    </w:p>
    <w:p w14:paraId="663FA3AC">
      <w:pPr>
        <w:pStyle w:val="12"/>
        <w:numPr>
          <w:ilvl w:val="0"/>
          <w:numId w:val="11"/>
        </w:numPr>
        <w:topLinePunct w:val="0"/>
        <w:ind w:left="0" w:leftChars="0" w:firstLine="616" w:firstLineChars="0"/>
        <w:rPr>
          <w:rFonts w:hint="eastAsia" w:ascii="仿宋_GB2312" w:hAnsi="仿宋_GB2312" w:eastAsia="仿宋_GB2312" w:cs="仿宋_GB2312"/>
          <w:b w:val="0"/>
        </w:rPr>
      </w:pPr>
      <w:r>
        <w:rPr>
          <w:rStyle w:val="30"/>
        </w:rPr>
        <w:t>发展支持不足</w:t>
      </w:r>
      <w:r>
        <w:t>。例如，专业设置与发展也基本依靠学校自身摸索。</w:t>
      </w:r>
    </w:p>
    <w:p w14:paraId="1304355F">
      <w:pPr>
        <w:pStyle w:val="3"/>
        <w:numPr>
          <w:ilvl w:val="0"/>
          <w:numId w:val="10"/>
        </w:numPr>
        <w:topLinePunct w:val="0"/>
        <w:ind w:left="0" w:leftChars="0" w:firstLine="640" w:firstLineChars="0"/>
        <w:rPr>
          <w:rFonts w:hint="eastAsia" w:ascii="楷体_GB2312" w:hAnsi="楷体_GB2312" w:eastAsia="楷体_GB2312" w:cs="楷体_GB2312"/>
          <w:b w:val="0"/>
        </w:rPr>
      </w:pPr>
      <w:bookmarkStart w:id="72" w:name="_Toc11670"/>
      <w:r>
        <w:t>原因分析及举措</w:t>
      </w:r>
      <w:bookmarkEnd w:id="72"/>
    </w:p>
    <w:p w14:paraId="38BB6B5F">
      <w:pPr>
        <w:pStyle w:val="12"/>
        <w:widowControl/>
        <w:numPr>
          <w:ilvl w:val="0"/>
          <w:numId w:val="12"/>
        </w:numPr>
        <w:ind w:left="8" w:leftChars="0" w:firstLine="608" w:firstLineChars="0"/>
        <w:rPr>
          <w:rFonts w:hint="eastAsia" w:ascii="仿宋_GB2312" w:hAnsi="仿宋_GB2312" w:eastAsia="仿宋_GB2312" w:cs="仿宋_GB2312"/>
          <w:b w:val="0"/>
        </w:rPr>
      </w:pPr>
      <w:r>
        <w:rPr>
          <w:rStyle w:val="22"/>
          <w:b w:val="0"/>
          <w:spacing w:val="0"/>
          <w:kern w:val="0"/>
          <w:fitText w:val="2560" w:id="877290848"/>
          <w:vertAlign w:val="baseline"/>
        </w:rPr>
        <w:t>师资队伍建设方面</w:t>
      </w:r>
      <w:r>
        <w:rPr>
          <w:b w:val="0"/>
        </w:rPr>
        <w:t>：</w:t>
      </w:r>
      <w:r>
        <w:t>创新用人机制和师资队伍建设机制，引进、聘请年富力强的专业骨干教师，调动现有教师的工作积极性；完善教师培养培训体系，以＂双师型＂教师队伍建设为重点，培养理论过关、技能技术过硬的师资队伍。</w:t>
      </w:r>
    </w:p>
    <w:p w14:paraId="1475F6D3">
      <w:pPr>
        <w:pStyle w:val="12"/>
        <w:widowControl/>
        <w:numPr>
          <w:ilvl w:val="0"/>
          <w:numId w:val="12"/>
        </w:numPr>
        <w:ind w:left="8" w:leftChars="0" w:firstLine="608" w:firstLineChars="0"/>
        <w:rPr>
          <w:rFonts w:hint="eastAsia" w:ascii="仿宋_GB2312" w:hAnsi="仿宋_GB2312" w:eastAsia="仿宋_GB2312" w:cs="仿宋_GB2312"/>
          <w:b w:val="0"/>
        </w:rPr>
      </w:pPr>
      <w:r>
        <w:rPr>
          <w:rStyle w:val="22"/>
          <w:b w:val="0"/>
          <w:spacing w:val="0"/>
          <w:kern w:val="0"/>
          <w:fitText w:val="2560" w:id="1008160419"/>
          <w:vertAlign w:val="baseline"/>
        </w:rPr>
        <w:t>就业稳定工作方面</w:t>
      </w:r>
      <w:r>
        <w:rPr>
          <w:b w:val="0"/>
        </w:rPr>
        <w:t>：</w:t>
      </w:r>
      <w:r>
        <w:t>继续加强就业指导，从学生价值取向和就业观念引导、职业生涯规划设计、职业道德养成、职业判断和选择能力等方面进行精准的就业指导；及时跟踪回访，及时和企业沟通、及时做好学生心理疏导工作；继续实行分层次就业，通过引入竞争机制，让学生珍惜就业机会；学生就业前要求家长到校，让家长协助学校、企业做好学生的就业稳定工作。</w:t>
      </w:r>
    </w:p>
    <w:p w14:paraId="409FB1CE">
      <w:pPr>
        <w:pStyle w:val="12"/>
        <w:widowControl/>
        <w:numPr>
          <w:ilvl w:val="0"/>
          <w:numId w:val="12"/>
        </w:numPr>
        <w:ind w:left="8" w:leftChars="0" w:firstLine="608" w:firstLineChars="0"/>
        <w:rPr>
          <w:rFonts w:hint="eastAsia"/>
          <w:lang w:eastAsia="zh-CN"/>
        </w:rPr>
      </w:pPr>
      <w:r>
        <w:rPr>
          <w:rStyle w:val="22"/>
          <w:b w:val="0"/>
          <w:spacing w:val="0"/>
          <w:kern w:val="0"/>
          <w:fitText w:val="2560" w:id="666519601"/>
          <w:vertAlign w:val="baseline"/>
        </w:rPr>
        <w:t>办学条件改善方面</w:t>
      </w:r>
      <w:r>
        <w:rPr>
          <w:b w:val="0"/>
        </w:rPr>
        <w:t>：</w:t>
      </w:r>
      <w:r>
        <w:t>积极争取上级支持，加大经费投入，改善办学条件；加强校企合作，争取企业支持，共建实训基地；扩大办学规模，提升办学条件。</w:t>
      </w:r>
    </w:p>
    <w:sectPr>
      <w:footerReference r:id="rId11" w:type="default"/>
      <w:footerReference r:id="rId12" w:type="even"/>
      <w:pgSz w:w="11906" w:h="16838"/>
      <w:pgMar w:top="1814" w:right="1474" w:bottom="1814" w:left="1587" w:header="851" w:footer="1417" w:gutter="0"/>
      <w:pgNumType w:fmt="decimal" w:start="1"/>
      <w:cols w:space="425" w:num="1"/>
      <w:docGrid w:type="linesAndChars" w:linePitch="579" w:charSpace="1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74CAB26-EBB5-4E13-856B-F7B32DD3A0D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571FD43-8832-41B9-B29E-6ADE0DBCB3E6}"/>
  </w:font>
  <w:font w:name="楷体_GB2312">
    <w:altName w:val="楷体"/>
    <w:panose1 w:val="00000000000000000000"/>
    <w:charset w:val="00"/>
    <w:family w:val="auto"/>
    <w:pitch w:val="default"/>
    <w:sig w:usb0="00000000" w:usb1="00000000" w:usb2="00000000" w:usb3="00000000" w:csb0="00000000" w:csb1="00000000"/>
    <w:embedRegular r:id="rId3" w:fontKey="{0879CAF3-0102-403D-AACB-DFC9BB90CE54}"/>
  </w:font>
  <w:font w:name="楷体">
    <w:panose1 w:val="02010609060101010101"/>
    <w:charset w:val="86"/>
    <w:family w:val="modern"/>
    <w:pitch w:val="default"/>
    <w:sig w:usb0="800002BF" w:usb1="38CF7CFA" w:usb2="00000016" w:usb3="00000000" w:csb0="00040001" w:csb1="00000000"/>
    <w:embedRegular r:id="rId4" w:fontKey="{E0F16D93-D355-46E8-878E-A3D8FCE9255C}"/>
  </w:font>
  <w:font w:name="仿宋_GB2312">
    <w:altName w:val="仿宋"/>
    <w:panose1 w:val="02010609030101010101"/>
    <w:charset w:val="86"/>
    <w:family w:val="auto"/>
    <w:pitch w:val="default"/>
    <w:sig w:usb0="00000000" w:usb1="00000000" w:usb2="00000000" w:usb3="00000000" w:csb0="00040000" w:csb1="00000000"/>
    <w:embedRegular r:id="rId5" w:fontKey="{A55565A0-80AA-4229-95AE-952C84A82F3F}"/>
  </w:font>
  <w:font w:name="仿宋">
    <w:panose1 w:val="02010609060101010101"/>
    <w:charset w:val="86"/>
    <w:family w:val="auto"/>
    <w:pitch w:val="default"/>
    <w:sig w:usb0="800002BF" w:usb1="38CF7CFA" w:usb2="00000016" w:usb3="00000000" w:csb0="00040001" w:csb1="00000000"/>
    <w:embedRegular r:id="rId6" w:fontKey="{7B43E4C0-6735-48A3-BC7E-5BA42B24B4FF}"/>
  </w:font>
  <w:font w:name="方正小标宋简体">
    <w:panose1 w:val="02000000000000000000"/>
    <w:charset w:val="86"/>
    <w:family w:val="auto"/>
    <w:pitch w:val="default"/>
    <w:sig w:usb0="00000001" w:usb1="08000000" w:usb2="00000000" w:usb3="00000000" w:csb0="00040000" w:csb1="00000000"/>
    <w:embedRegular r:id="rId7" w:fontKey="{EE02BB78-8898-42EB-8ABA-AF7F3BD231FA}"/>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3CAFC">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1DC48">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2D63A">
    <w:pPr>
      <w:pStyle w:val="13"/>
      <w:ind w:right="360"/>
      <w:rPr>
        <w:rFonts w:hint="eastAsia" w:ascii="宋体" w:hAnsi="宋体" w:eastAsia="宋体" w:cs="宋体"/>
        <w:b w:val="0"/>
        <w:bCs w:val="0"/>
      </w:rPr>
    </w:pPr>
  </w:p>
  <w:p w14:paraId="2B833D0F">
    <w:pPr>
      <w:spacing w:line="173" w:lineRule="auto"/>
      <w:jc w:val="both"/>
      <w:rPr>
        <w:rFonts w:hint="eastAsia" w:ascii="宋体" w:hAnsi="宋体" w:eastAsia="宋体" w:cs="宋体"/>
        <w:b w:val="0"/>
        <w:bCs w:val="0"/>
        <w:sz w:val="41"/>
        <w:szCs w:val="4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45ADE">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79C68">
    <w:pPr>
      <w:pStyle w:val="13"/>
      <w:ind w:right="360"/>
      <w:rPr>
        <w:rFonts w:hint="eastAsia" w:ascii="宋体" w:hAnsi="宋体" w:eastAsia="宋体" w:cs="宋体"/>
        <w:b w:val="0"/>
        <w:bCs w:val="0"/>
      </w:rPr>
    </w:pPr>
  </w:p>
  <w:p w14:paraId="52F238A1">
    <w:pPr>
      <w:spacing w:line="173" w:lineRule="auto"/>
      <w:jc w:val="both"/>
      <w:rPr>
        <w:rFonts w:hint="eastAsia" w:ascii="宋体" w:hAnsi="宋体" w:eastAsia="宋体" w:cs="宋体"/>
        <w:b w:val="0"/>
        <w:bCs w:val="0"/>
        <w:sz w:val="41"/>
        <w:szCs w:val="4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9C971">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A5D0F">
    <w:pPr>
      <w:pStyle w:val="13"/>
      <w:ind w:right="360"/>
      <w:rPr>
        <w:rFonts w:hint="eastAsia" w:ascii="宋体" w:hAnsi="宋体" w:eastAsia="宋体" w:cs="宋体"/>
        <w:b w:val="0"/>
        <w:bCs w:val="0"/>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992FA8">
                          <w:pPr>
                            <w:pStyle w:val="13"/>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31</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59264;mso-width-relative:page;mso-height-relative:page;" filled="f" stroked="f" coordsize="21600,21600" o:gfxdata="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AegHW0wAAAAYBAAAPAAAAAAAAAAEAIAAAACIAAABkcnMvZG93bnJldi54bWxQSwEC&#10;FAAUAAAACACHTuJAESHG4jICAABjBAAADgAAAAAAAAABACAAAAAiAQAAZHJzL2Uyb0RvYy54bWxQ&#10;SwUGAAAAAAYABgBZAQAAxgUAAAAA&#10;">
              <v:fill on="f" focussize="0,0"/>
              <v:stroke on="f" weight="0.5pt"/>
              <v:imagedata o:title=""/>
              <o:lock v:ext="edit" aspectratio="f"/>
              <v:textbox inset="0mm,0mm,0mm,0mm" style="mso-fit-shape-to-text:t;">
                <w:txbxContent>
                  <w:p w14:paraId="22992FA8">
                    <w:pPr>
                      <w:pStyle w:val="13"/>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31</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v:textbox>
            </v:shape>
          </w:pict>
        </mc:Fallback>
      </mc:AlternateContent>
    </w:r>
  </w:p>
  <w:p w14:paraId="2217E35F">
    <w:pPr>
      <w:spacing w:line="173" w:lineRule="auto"/>
      <w:jc w:val="both"/>
      <w:rPr>
        <w:rFonts w:hint="eastAsia" w:ascii="宋体" w:hAnsi="宋体" w:eastAsia="宋体" w:cs="宋体"/>
        <w:b w:val="0"/>
        <w:bCs w:val="0"/>
        <w:sz w:val="41"/>
        <w:szCs w:val="4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9B823">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12700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2C9DC">
                          <w:pPr>
                            <w:pStyle w:val="13"/>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pt;height:144pt;width:144pt;mso-position-horizontal:outside;mso-position-horizontal-relative:margin;mso-wrap-style:none;z-index:251660288;mso-width-relative:page;mso-height-relative:page;" filled="f" stroked="f" coordsize="21600,21600" o:gfxdata="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HoB1tMAAAAGAQAADwAAAAAAAAABACAAAAAiAAAAZHJzL2Rvd25yZXYueG1sUEsB&#10;AhQAFAAAAAgAh07iQFOJUQ0zAgAAYwQAAA4AAAAAAAAAAQAgAAAAIgEAAGRycy9lMm9Eb2MueG1s&#10;UEsFBgAAAAAGAAYAWQEAAMcFAAAAAA==&#10;">
              <v:fill on="f" focussize="0,0"/>
              <v:stroke on="f" weight="0.5pt"/>
              <v:imagedata o:title=""/>
              <o:lock v:ext="edit" aspectratio="f"/>
              <v:textbox inset="0mm,0mm,0mm,0mm" style="mso-fit-shape-to-text:t;">
                <w:txbxContent>
                  <w:p w14:paraId="56F2C9DC">
                    <w:pPr>
                      <w:pStyle w:val="13"/>
                      <w:rPr>
                        <w:rFonts w:ascii="宋体" w:hAnsi="宋体" w:eastAsia="宋体"/>
                        <w:sz w:val="28"/>
                      </w:rPr>
                    </w:pPr>
                    <w:r>
                      <w:rPr>
                        <w:rFonts w:ascii="宋体" w:hAnsi="宋体" w:eastAsia="宋体"/>
                        <w:sz w:val="28"/>
                      </w:rPr>
                      <w:t>—</w:t>
                    </w:r>
                    <w:r>
                      <w:rPr>
                        <w:rFonts w:ascii="宋体" w:hAnsi="宋体" w:eastAsia="宋体"/>
                        <w:sz w:val="24"/>
                      </w:rPr>
                      <w:t xml:space="preserve">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xml:space="preserve"> </w:t>
                    </w:r>
                    <w:r>
                      <w:rPr>
                        <w:rFonts w:ascii="宋体" w:hAnsi="宋体" w:eastAsia="宋体"/>
                        <w:sz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7D437">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4E9D6">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3ED520"/>
    <w:multiLevelType w:val="singleLevel"/>
    <w:tmpl w:val="853ED520"/>
    <w:lvl w:ilvl="0" w:tentative="0">
      <w:start w:val="1"/>
      <w:numFmt w:val="taiwaneseCounting"/>
      <w:suff w:val="nothing"/>
      <w:lvlText w:val="（%1）"/>
      <w:lvlJc w:val="left"/>
      <w:pPr>
        <w:ind w:left="0" w:firstLine="640"/>
      </w:pPr>
      <w:rPr>
        <w:rFonts w:hint="eastAsia"/>
      </w:rPr>
    </w:lvl>
  </w:abstractNum>
  <w:abstractNum w:abstractNumId="1">
    <w:nsid w:val="87DB1650"/>
    <w:multiLevelType w:val="singleLevel"/>
    <w:tmpl w:val="87DB1650"/>
    <w:lvl w:ilvl="0" w:tentative="0">
      <w:start w:val="1"/>
      <w:numFmt w:val="taiwaneseCounting"/>
      <w:suff w:val="nothing"/>
      <w:lvlText w:val="%1、"/>
      <w:lvlJc w:val="left"/>
      <w:pPr>
        <w:ind w:left="0" w:firstLine="640"/>
      </w:pPr>
      <w:rPr>
        <w:rFonts w:hint="eastAsia"/>
      </w:rPr>
    </w:lvl>
  </w:abstractNum>
  <w:abstractNum w:abstractNumId="2">
    <w:nsid w:val="BE6BB953"/>
    <w:multiLevelType w:val="singleLevel"/>
    <w:tmpl w:val="BE6BB953"/>
    <w:lvl w:ilvl="0" w:tentative="0">
      <w:start w:val="1"/>
      <w:numFmt w:val="decimal"/>
      <w:suff w:val="nothing"/>
      <w:lvlText w:val="%1．"/>
      <w:lvlJc w:val="left"/>
      <w:pPr>
        <w:ind w:left="0" w:firstLine="616"/>
      </w:pPr>
      <w:rPr>
        <w:rFonts w:hint="default"/>
      </w:rPr>
    </w:lvl>
  </w:abstractNum>
  <w:abstractNum w:abstractNumId="3">
    <w:nsid w:val="C83242D5"/>
    <w:multiLevelType w:val="singleLevel"/>
    <w:tmpl w:val="C83242D5"/>
    <w:lvl w:ilvl="0" w:tentative="0">
      <w:start w:val="1"/>
      <w:numFmt w:val="taiwaneseCounting"/>
      <w:suff w:val="nothing"/>
      <w:lvlText w:val="（%1）"/>
      <w:lvlJc w:val="left"/>
      <w:pPr>
        <w:ind w:left="0" w:firstLine="640"/>
      </w:pPr>
      <w:rPr>
        <w:rFonts w:hint="eastAsia"/>
      </w:rPr>
    </w:lvl>
  </w:abstractNum>
  <w:abstractNum w:abstractNumId="4">
    <w:nsid w:val="DC446237"/>
    <w:multiLevelType w:val="singleLevel"/>
    <w:tmpl w:val="DC446237"/>
    <w:lvl w:ilvl="0" w:tentative="0">
      <w:start w:val="1"/>
      <w:numFmt w:val="decimal"/>
      <w:suff w:val="nothing"/>
      <w:lvlText w:val="%1．"/>
      <w:lvlJc w:val="left"/>
      <w:pPr>
        <w:ind w:left="0" w:firstLine="616"/>
      </w:pPr>
      <w:rPr>
        <w:rFonts w:hint="default"/>
      </w:rPr>
    </w:lvl>
  </w:abstractNum>
  <w:abstractNum w:abstractNumId="5">
    <w:nsid w:val="F0D9C978"/>
    <w:multiLevelType w:val="singleLevel"/>
    <w:tmpl w:val="F0D9C978"/>
    <w:lvl w:ilvl="0" w:tentative="0">
      <w:start w:val="1"/>
      <w:numFmt w:val="taiwaneseCounting"/>
      <w:suff w:val="nothing"/>
      <w:lvlText w:val="（%1）"/>
      <w:lvlJc w:val="left"/>
      <w:pPr>
        <w:ind w:left="0" w:firstLine="640"/>
      </w:pPr>
      <w:rPr>
        <w:rFonts w:hint="eastAsia"/>
      </w:rPr>
    </w:lvl>
  </w:abstractNum>
  <w:abstractNum w:abstractNumId="6">
    <w:nsid w:val="F71E52CD"/>
    <w:multiLevelType w:val="singleLevel"/>
    <w:tmpl w:val="F71E52CD"/>
    <w:lvl w:ilvl="0" w:tentative="0">
      <w:start w:val="1"/>
      <w:numFmt w:val="taiwaneseCounting"/>
      <w:suff w:val="nothing"/>
      <w:lvlText w:val="（%1）"/>
      <w:lvlJc w:val="left"/>
      <w:pPr>
        <w:ind w:left="0" w:firstLine="640"/>
      </w:pPr>
      <w:rPr>
        <w:rFonts w:hint="eastAsia"/>
      </w:rPr>
    </w:lvl>
  </w:abstractNum>
  <w:abstractNum w:abstractNumId="7">
    <w:nsid w:val="25DF9AB3"/>
    <w:multiLevelType w:val="singleLevel"/>
    <w:tmpl w:val="25DF9AB3"/>
    <w:lvl w:ilvl="0" w:tentative="0">
      <w:start w:val="1"/>
      <w:numFmt w:val="taiwaneseCounting"/>
      <w:suff w:val="nothing"/>
      <w:lvlText w:val="（%1）"/>
      <w:lvlJc w:val="left"/>
      <w:pPr>
        <w:ind w:left="0" w:firstLine="640"/>
      </w:pPr>
      <w:rPr>
        <w:rFonts w:hint="eastAsia"/>
      </w:rPr>
    </w:lvl>
  </w:abstractNum>
  <w:abstractNum w:abstractNumId="8">
    <w:nsid w:val="47E404DA"/>
    <w:multiLevelType w:val="singleLevel"/>
    <w:tmpl w:val="47E404DA"/>
    <w:lvl w:ilvl="0" w:tentative="0">
      <w:start w:val="1"/>
      <w:numFmt w:val="decimal"/>
      <w:suff w:val="space"/>
      <w:lvlText w:val="7.2.%1"/>
      <w:lvlJc w:val="left"/>
      <w:pPr>
        <w:ind w:left="0" w:firstLine="616"/>
      </w:pPr>
      <w:rPr>
        <w:rFonts w:hint="default"/>
      </w:rPr>
    </w:lvl>
  </w:abstractNum>
  <w:abstractNum w:abstractNumId="9">
    <w:nsid w:val="6E7B37AC"/>
    <w:multiLevelType w:val="singleLevel"/>
    <w:tmpl w:val="6E7B37AC"/>
    <w:lvl w:ilvl="0" w:tentative="0">
      <w:start w:val="1"/>
      <w:numFmt w:val="decimal"/>
      <w:suff w:val="nothing"/>
      <w:lvlText w:val="%1．"/>
      <w:lvlJc w:val="left"/>
      <w:pPr>
        <w:ind w:left="0" w:firstLine="640"/>
      </w:pPr>
      <w:rPr>
        <w:rFonts w:hint="default"/>
      </w:rPr>
    </w:lvl>
  </w:abstractNum>
  <w:abstractNum w:abstractNumId="10">
    <w:nsid w:val="73F926DA"/>
    <w:multiLevelType w:val="singleLevel"/>
    <w:tmpl w:val="73F926DA"/>
    <w:lvl w:ilvl="0" w:tentative="0">
      <w:start w:val="1"/>
      <w:numFmt w:val="taiwaneseCounting"/>
      <w:suff w:val="nothing"/>
      <w:lvlText w:val="（%1）"/>
      <w:lvlJc w:val="left"/>
      <w:pPr>
        <w:ind w:left="0" w:firstLine="640"/>
      </w:pPr>
      <w:rPr>
        <w:rFonts w:hint="eastAsia"/>
      </w:rPr>
    </w:lvl>
  </w:abstractNum>
  <w:abstractNum w:abstractNumId="11">
    <w:nsid w:val="7AB0B9E3"/>
    <w:multiLevelType w:val="singleLevel"/>
    <w:tmpl w:val="7AB0B9E3"/>
    <w:lvl w:ilvl="0" w:tentative="0">
      <w:start w:val="1"/>
      <w:numFmt w:val="taiwaneseCounting"/>
      <w:suff w:val="nothing"/>
      <w:lvlText w:val="（%1）"/>
      <w:lvlJc w:val="left"/>
      <w:pPr>
        <w:ind w:left="0" w:firstLine="640"/>
      </w:pPr>
      <w:rPr>
        <w:rFonts w:hint="eastAsia"/>
      </w:rPr>
    </w:lvl>
  </w:abstractNum>
  <w:num w:numId="1">
    <w:abstractNumId w:val="1"/>
  </w:num>
  <w:num w:numId="2">
    <w:abstractNumId w:val="0"/>
  </w:num>
  <w:num w:numId="3">
    <w:abstractNumId w:val="5"/>
  </w:num>
  <w:num w:numId="4">
    <w:abstractNumId w:val="4"/>
  </w:num>
  <w:num w:numId="5">
    <w:abstractNumId w:val="6"/>
  </w:num>
  <w:num w:numId="6">
    <w:abstractNumId w:val="3"/>
  </w:num>
  <w:num w:numId="7">
    <w:abstractNumId w:val="10"/>
  </w:num>
  <w:num w:numId="8">
    <w:abstractNumId w:val="7"/>
  </w:num>
  <w:num w:numId="9">
    <w:abstractNumId w:val="9"/>
  </w:num>
  <w:num w:numId="10">
    <w:abstractNumId w:val="1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evenAndOddHeaders w:val="1"/>
  <w:drawingGridHorizontalSpacing w:val="158"/>
  <w:drawingGridVerticalSpacing w:val="29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50665"/>
    <w:rsid w:val="03907B11"/>
    <w:rsid w:val="041A7805"/>
    <w:rsid w:val="04934F4F"/>
    <w:rsid w:val="070909E2"/>
    <w:rsid w:val="08C14066"/>
    <w:rsid w:val="091617D9"/>
    <w:rsid w:val="098257CD"/>
    <w:rsid w:val="09F543FE"/>
    <w:rsid w:val="0AFB20FF"/>
    <w:rsid w:val="0C4C00B3"/>
    <w:rsid w:val="0C9553C1"/>
    <w:rsid w:val="0E1951C3"/>
    <w:rsid w:val="0E30112B"/>
    <w:rsid w:val="0E634DB2"/>
    <w:rsid w:val="0E6600DF"/>
    <w:rsid w:val="0E9C6BD8"/>
    <w:rsid w:val="0EE67008"/>
    <w:rsid w:val="0F5B2655"/>
    <w:rsid w:val="0F79249C"/>
    <w:rsid w:val="101D21BC"/>
    <w:rsid w:val="10EC0EB4"/>
    <w:rsid w:val="127A0B8D"/>
    <w:rsid w:val="128B66A6"/>
    <w:rsid w:val="12993EC5"/>
    <w:rsid w:val="12C0114D"/>
    <w:rsid w:val="130363BE"/>
    <w:rsid w:val="135950FD"/>
    <w:rsid w:val="13C4245C"/>
    <w:rsid w:val="158C6F6D"/>
    <w:rsid w:val="176F2079"/>
    <w:rsid w:val="17A571CD"/>
    <w:rsid w:val="182E2830"/>
    <w:rsid w:val="1850112A"/>
    <w:rsid w:val="19AD12DA"/>
    <w:rsid w:val="1BA86FFE"/>
    <w:rsid w:val="1BB35634"/>
    <w:rsid w:val="1BDD7243"/>
    <w:rsid w:val="1BF17C56"/>
    <w:rsid w:val="1BFC5AD0"/>
    <w:rsid w:val="1C6F00C6"/>
    <w:rsid w:val="1DA022A7"/>
    <w:rsid w:val="1DF27FB0"/>
    <w:rsid w:val="1E25568F"/>
    <w:rsid w:val="1E480648"/>
    <w:rsid w:val="1EB01729"/>
    <w:rsid w:val="1F3709E9"/>
    <w:rsid w:val="209F6ACD"/>
    <w:rsid w:val="20CB51AC"/>
    <w:rsid w:val="20D90C8E"/>
    <w:rsid w:val="21B26EC4"/>
    <w:rsid w:val="22725720"/>
    <w:rsid w:val="22837AA1"/>
    <w:rsid w:val="236F026F"/>
    <w:rsid w:val="247C52FA"/>
    <w:rsid w:val="24A55A93"/>
    <w:rsid w:val="25104604"/>
    <w:rsid w:val="25433E93"/>
    <w:rsid w:val="26177FE1"/>
    <w:rsid w:val="26265576"/>
    <w:rsid w:val="28BF3029"/>
    <w:rsid w:val="2A3563DD"/>
    <w:rsid w:val="2B460AB9"/>
    <w:rsid w:val="2CF55A3F"/>
    <w:rsid w:val="2D345FAA"/>
    <w:rsid w:val="2D40201E"/>
    <w:rsid w:val="2DD815E9"/>
    <w:rsid w:val="2E78204D"/>
    <w:rsid w:val="2E992738"/>
    <w:rsid w:val="2F9F4BBB"/>
    <w:rsid w:val="31BD4C5C"/>
    <w:rsid w:val="32547FC6"/>
    <w:rsid w:val="328D0CA1"/>
    <w:rsid w:val="336504CD"/>
    <w:rsid w:val="33E7148D"/>
    <w:rsid w:val="34341A8A"/>
    <w:rsid w:val="345129A9"/>
    <w:rsid w:val="34540FDB"/>
    <w:rsid w:val="34CC5377"/>
    <w:rsid w:val="34EA59F5"/>
    <w:rsid w:val="358075FB"/>
    <w:rsid w:val="35C9670C"/>
    <w:rsid w:val="3873730E"/>
    <w:rsid w:val="38F344BC"/>
    <w:rsid w:val="391B1FEF"/>
    <w:rsid w:val="397F7915"/>
    <w:rsid w:val="39ED01CA"/>
    <w:rsid w:val="3AC86541"/>
    <w:rsid w:val="3B07411C"/>
    <w:rsid w:val="3B1C56AD"/>
    <w:rsid w:val="3BC459DA"/>
    <w:rsid w:val="3C196AEE"/>
    <w:rsid w:val="3C3D7460"/>
    <w:rsid w:val="3E813AD2"/>
    <w:rsid w:val="3F7927FC"/>
    <w:rsid w:val="3F960528"/>
    <w:rsid w:val="40624701"/>
    <w:rsid w:val="408B4299"/>
    <w:rsid w:val="410C28AC"/>
    <w:rsid w:val="42D67878"/>
    <w:rsid w:val="44123DA4"/>
    <w:rsid w:val="451A6F41"/>
    <w:rsid w:val="468924AD"/>
    <w:rsid w:val="476A6321"/>
    <w:rsid w:val="47854274"/>
    <w:rsid w:val="47D64298"/>
    <w:rsid w:val="48FB4D52"/>
    <w:rsid w:val="493075A1"/>
    <w:rsid w:val="49640349"/>
    <w:rsid w:val="4B712460"/>
    <w:rsid w:val="4BC12737"/>
    <w:rsid w:val="4C4C7539"/>
    <w:rsid w:val="4CA80FE3"/>
    <w:rsid w:val="4D3F1B9E"/>
    <w:rsid w:val="4D720832"/>
    <w:rsid w:val="4D8565D4"/>
    <w:rsid w:val="4D9572F6"/>
    <w:rsid w:val="4DEE2911"/>
    <w:rsid w:val="4E203070"/>
    <w:rsid w:val="4E373984"/>
    <w:rsid w:val="4FB96859"/>
    <w:rsid w:val="51801DE0"/>
    <w:rsid w:val="51877C26"/>
    <w:rsid w:val="51DE0900"/>
    <w:rsid w:val="5249784D"/>
    <w:rsid w:val="52EA3926"/>
    <w:rsid w:val="56E2333B"/>
    <w:rsid w:val="573D6AAD"/>
    <w:rsid w:val="58152C41"/>
    <w:rsid w:val="58427D27"/>
    <w:rsid w:val="593D11E4"/>
    <w:rsid w:val="5A2A46CB"/>
    <w:rsid w:val="5B8404C5"/>
    <w:rsid w:val="5C374CD5"/>
    <w:rsid w:val="5C6F32A9"/>
    <w:rsid w:val="5CBB221A"/>
    <w:rsid w:val="5D4D2BAA"/>
    <w:rsid w:val="6094289E"/>
    <w:rsid w:val="60A078D4"/>
    <w:rsid w:val="60BD3DA3"/>
    <w:rsid w:val="61F915CB"/>
    <w:rsid w:val="62151563"/>
    <w:rsid w:val="62314912"/>
    <w:rsid w:val="633E0F53"/>
    <w:rsid w:val="63894B54"/>
    <w:rsid w:val="64C30B1F"/>
    <w:rsid w:val="64F85B4E"/>
    <w:rsid w:val="65912E53"/>
    <w:rsid w:val="65D074B1"/>
    <w:rsid w:val="6A55256E"/>
    <w:rsid w:val="6AAF2D24"/>
    <w:rsid w:val="6B570342"/>
    <w:rsid w:val="6CED7066"/>
    <w:rsid w:val="6D7537BC"/>
    <w:rsid w:val="6DCB173B"/>
    <w:rsid w:val="6E1830D1"/>
    <w:rsid w:val="6EA80978"/>
    <w:rsid w:val="6FF22D39"/>
    <w:rsid w:val="72C721A0"/>
    <w:rsid w:val="741B309A"/>
    <w:rsid w:val="74B75CE7"/>
    <w:rsid w:val="74DB1077"/>
    <w:rsid w:val="75267B11"/>
    <w:rsid w:val="756509CE"/>
    <w:rsid w:val="7581743D"/>
    <w:rsid w:val="75FD0A92"/>
    <w:rsid w:val="762B1157"/>
    <w:rsid w:val="769766F2"/>
    <w:rsid w:val="76995B37"/>
    <w:rsid w:val="7757494C"/>
    <w:rsid w:val="77AA4430"/>
    <w:rsid w:val="78A04E22"/>
    <w:rsid w:val="78E222F4"/>
    <w:rsid w:val="78E831D3"/>
    <w:rsid w:val="790463BB"/>
    <w:rsid w:val="79442E11"/>
    <w:rsid w:val="799B4C5A"/>
    <w:rsid w:val="79F005D5"/>
    <w:rsid w:val="7A53368B"/>
    <w:rsid w:val="7BC24ED2"/>
    <w:rsid w:val="7C4027B2"/>
    <w:rsid w:val="7C7B2E38"/>
    <w:rsid w:val="7FDE0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officialmode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qFormat/>
    <w:uiPriority w:val="1"/>
    <w:pPr>
      <w:keepNext/>
      <w:keepLines/>
      <w:spacing w:beforeLines="0" w:beforeAutospacing="0" w:afterLines="0" w:afterAutospacing="0" w:line="560" w:lineRule="exact"/>
      <w:ind w:firstLine="894" w:firstLineChars="200"/>
      <w:outlineLvl w:val="0"/>
    </w:pPr>
    <w:rPr>
      <w:rFonts w:ascii="黑体" w:hAnsi="黑体" w:eastAsia="黑体" w:cs="黑体"/>
      <w:kern w:val="44"/>
      <w:sz w:val="32"/>
      <w:szCs w:val="32"/>
    </w:rPr>
  </w:style>
  <w:style w:type="paragraph" w:styleId="3">
    <w:name w:val="heading 2"/>
    <w:next w:val="1"/>
    <w:unhideWhenUsed/>
    <w:qFormat/>
    <w:uiPriority w:val="9"/>
    <w:pPr>
      <w:keepNext/>
      <w:keepLines/>
      <w:spacing w:beforeLines="0" w:beforeAutospacing="0" w:afterLines="0" w:afterAutospacing="0" w:line="560" w:lineRule="exact"/>
      <w:ind w:firstLine="894" w:firstLineChars="200"/>
      <w:outlineLvl w:val="1"/>
    </w:pPr>
    <w:rPr>
      <w:rFonts w:ascii="Times New Roman" w:hAnsi="Times New Roman" w:eastAsia="楷体_GB2312" w:cs="楷体_GB2312"/>
      <w:sz w:val="32"/>
      <w:szCs w:val="32"/>
    </w:rPr>
  </w:style>
  <w:style w:type="paragraph" w:styleId="4">
    <w:name w:val="heading 3"/>
    <w:next w:val="1"/>
    <w:link w:val="30"/>
    <w:unhideWhenUsed/>
    <w:qFormat/>
    <w:uiPriority w:val="0"/>
    <w:pPr>
      <w:keepNext/>
      <w:keepLines/>
      <w:spacing w:beforeLines="0" w:beforeAutospacing="0" w:afterLines="0" w:afterAutospacing="0" w:line="560" w:lineRule="exact"/>
      <w:ind w:firstLine="894" w:firstLineChars="200"/>
      <w:outlineLvl w:val="2"/>
    </w:pPr>
    <w:rPr>
      <w:rFonts w:ascii="Times New Roman" w:hAnsi="Times New Roman" w:eastAsia="仿宋_GB2312" w:cs="仿宋_GB2312"/>
      <w:sz w:val="32"/>
      <w:szCs w:val="32"/>
    </w:rPr>
  </w:style>
  <w:style w:type="paragraph" w:styleId="5">
    <w:name w:val="heading 4"/>
    <w:next w:val="1"/>
    <w:semiHidden/>
    <w:unhideWhenUsed/>
    <w:qFormat/>
    <w:uiPriority w:val="0"/>
    <w:pPr>
      <w:keepNext/>
      <w:keepLines/>
      <w:spacing w:beforeLines="0" w:beforeAutospacing="0" w:afterLines="0" w:afterAutospacing="0" w:line="560" w:lineRule="exact"/>
      <w:ind w:firstLine="894" w:firstLineChars="200"/>
      <w:outlineLvl w:val="3"/>
    </w:pPr>
    <w:rPr>
      <w:rFonts w:ascii="Times New Roman" w:hAnsi="Times New Roman" w:eastAsia="仿宋_GB2312" w:cs="仿宋_GB2312"/>
      <w:sz w:val="32"/>
      <w:szCs w:val="32"/>
    </w:rPr>
  </w:style>
  <w:style w:type="paragraph" w:styleId="6">
    <w:name w:val="heading 5"/>
    <w:next w:val="1"/>
    <w:semiHidden/>
    <w:unhideWhenUsed/>
    <w:qFormat/>
    <w:uiPriority w:val="0"/>
    <w:pPr>
      <w:spacing w:line="560" w:lineRule="exact"/>
      <w:ind w:firstLine="894" w:firstLineChars="200"/>
      <w:outlineLvl w:val="4"/>
    </w:pPr>
    <w:rPr>
      <w:rFonts w:ascii="Times New Roman" w:hAnsi="Times New Roman" w:eastAsia="仿宋_GB2312" w:cs="仿宋_GB2312"/>
      <w:sz w:val="32"/>
      <w:szCs w:val="32"/>
    </w:rPr>
  </w:style>
  <w:style w:type="paragraph" w:styleId="7">
    <w:name w:val="heading 6"/>
    <w:next w:val="1"/>
    <w:semiHidden/>
    <w:unhideWhenUsed/>
    <w:qFormat/>
    <w:uiPriority w:val="0"/>
    <w:pPr>
      <w:spacing w:line="560" w:lineRule="exact"/>
      <w:ind w:firstLine="894" w:firstLineChars="200"/>
      <w:outlineLvl w:val="5"/>
    </w:pPr>
    <w:rPr>
      <w:rFonts w:ascii="Times New Roman" w:hAnsi="Times New Roman" w:eastAsia="仿宋_GB2312" w:cs="仿宋_GB2312"/>
      <w:sz w:val="32"/>
      <w:szCs w:val="32"/>
    </w:rPr>
  </w:style>
  <w:style w:type="paragraph" w:styleId="8">
    <w:name w:val="heading 7"/>
    <w:next w:val="1"/>
    <w:semiHidden/>
    <w:unhideWhenUsed/>
    <w:qFormat/>
    <w:uiPriority w:val="0"/>
    <w:pPr>
      <w:spacing w:line="560" w:lineRule="exact"/>
      <w:ind w:firstLine="894" w:firstLineChars="200"/>
      <w:outlineLvl w:val="6"/>
    </w:pPr>
    <w:rPr>
      <w:rFonts w:ascii="Times New Roman" w:hAnsi="Times New Roman" w:eastAsia="仿宋_GB2312" w:cs="仿宋_GB2312"/>
      <w:sz w:val="32"/>
      <w:szCs w:val="32"/>
    </w:rPr>
  </w:style>
  <w:style w:type="paragraph" w:styleId="9">
    <w:name w:val="heading 8"/>
    <w:next w:val="1"/>
    <w:semiHidden/>
    <w:unhideWhenUsed/>
    <w:qFormat/>
    <w:uiPriority w:val="0"/>
    <w:pPr>
      <w:spacing w:line="560" w:lineRule="exact"/>
      <w:ind w:firstLine="894" w:firstLineChars="200"/>
      <w:outlineLvl w:val="7"/>
    </w:pPr>
    <w:rPr>
      <w:rFonts w:ascii="Times New Roman" w:hAnsi="Times New Roman" w:eastAsia="仿宋_GB2312" w:cs="仿宋_GB2312"/>
      <w:sz w:val="32"/>
      <w:szCs w:val="32"/>
    </w:rPr>
  </w:style>
  <w:style w:type="paragraph" w:styleId="10">
    <w:name w:val="heading 9"/>
    <w:next w:val="1"/>
    <w:semiHidden/>
    <w:unhideWhenUsed/>
    <w:qFormat/>
    <w:uiPriority w:val="0"/>
    <w:pPr>
      <w:spacing w:line="560" w:lineRule="exact"/>
      <w:ind w:firstLine="894" w:firstLineChars="200"/>
      <w:outlineLvl w:val="8"/>
    </w:pPr>
    <w:rPr>
      <w:rFonts w:ascii="Times New Roman" w:hAnsi="Times New Roman" w:eastAsia="仿宋_GB2312" w:cs="仿宋_GB2312"/>
      <w:sz w:val="32"/>
      <w:szCs w:val="32"/>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11">
    <w:name w:val="caption"/>
    <w:basedOn w:val="1"/>
    <w:next w:val="1"/>
    <w:semiHidden/>
    <w:unhideWhenUsed/>
    <w:qFormat/>
    <w:uiPriority w:val="0"/>
    <w:rPr>
      <w:rFonts w:ascii="Arial" w:hAnsi="Arial" w:eastAsia="黑体"/>
      <w:sz w:val="20"/>
    </w:rPr>
  </w:style>
  <w:style w:type="paragraph" w:styleId="12">
    <w:name w:val="Body Text"/>
    <w:qFormat/>
    <w:uiPriority w:val="0"/>
    <w:pPr>
      <w:spacing w:line="560" w:lineRule="exact"/>
      <w:ind w:firstLine="630" w:firstLineChars="200"/>
      <w:jc w:val="both"/>
    </w:pPr>
    <w:rPr>
      <w:rFonts w:ascii="Times New Roman" w:hAnsi="Times New Roman" w:eastAsia="仿宋_GB2312" w:cs="仿宋_GB2312"/>
      <w:spacing w:val="-6"/>
      <w:sz w:val="32"/>
      <w:szCs w:val="32"/>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Subtitle"/>
    <w:qFormat/>
    <w:uiPriority w:val="0"/>
    <w:pPr>
      <w:spacing w:beforeLines="0" w:beforeAutospacing="0" w:afterLines="0" w:afterAutospacing="0" w:line="720" w:lineRule="exact"/>
      <w:jc w:val="center"/>
      <w:outlineLvl w:val="9"/>
    </w:pPr>
    <w:rPr>
      <w:rFonts w:ascii="Times New Roman" w:hAnsi="Times New Roman" w:eastAsia="仿宋_GB2312" w:cs="仿宋_GB2312"/>
      <w:kern w:val="28"/>
      <w:sz w:val="32"/>
      <w:szCs w:val="32"/>
    </w:rPr>
  </w:style>
  <w:style w:type="paragraph" w:styleId="17">
    <w:name w:val="table of figures"/>
    <w:basedOn w:val="1"/>
    <w:next w:val="1"/>
    <w:qFormat/>
    <w:uiPriority w:val="0"/>
    <w:pPr>
      <w:ind w:leftChars="200" w:hanging="200" w:hangingChars="200"/>
    </w:pPr>
  </w:style>
  <w:style w:type="paragraph" w:styleId="18">
    <w:name w:val="toc 2"/>
    <w:basedOn w:val="1"/>
    <w:next w:val="1"/>
    <w:qFormat/>
    <w:uiPriority w:val="0"/>
    <w:pPr>
      <w:ind w:left="420" w:leftChars="200"/>
    </w:pPr>
  </w:style>
  <w:style w:type="paragraph" w:styleId="19">
    <w:name w:val="Title"/>
    <w:link w:val="31"/>
    <w:qFormat/>
    <w:uiPriority w:val="0"/>
    <w:pPr>
      <w:spacing w:line="720" w:lineRule="exact"/>
      <w:jc w:val="center"/>
      <w:outlineLvl w:val="9"/>
    </w:pPr>
    <w:rPr>
      <w:rFonts w:ascii="方正小标宋简体" w:hAnsi="方正小标宋简体" w:eastAsia="方正小标宋简体" w:cs="方正小标宋简体"/>
      <w:sz w:val="44"/>
      <w:szCs w:val="44"/>
    </w:rPr>
  </w:style>
  <w:style w:type="character" w:styleId="22">
    <w:name w:val="Strong"/>
    <w:basedOn w:val="21"/>
    <w:qFormat/>
    <w:uiPriority w:val="0"/>
    <w:rPr>
      <w:b/>
    </w:rPr>
  </w:style>
  <w:style w:type="character" w:styleId="23">
    <w:name w:val="page number"/>
    <w:basedOn w:val="21"/>
    <w:qFormat/>
    <w:uiPriority w:val="0"/>
  </w:style>
  <w:style w:type="paragraph" w:customStyle="1" w:styleId="24">
    <w:name w:val="BodyText1I2"/>
    <w:basedOn w:val="25"/>
    <w:qFormat/>
    <w:uiPriority w:val="0"/>
    <w:pPr>
      <w:spacing w:before="0" w:after="120"/>
      <w:ind w:left="420" w:leftChars="200" w:right="0" w:firstLine="420" w:firstLineChars="200"/>
      <w:jc w:val="both"/>
      <w:textAlignment w:val="baseline"/>
    </w:pPr>
  </w:style>
  <w:style w:type="paragraph" w:customStyle="1" w:styleId="25">
    <w:name w:val="BodyTextIndent"/>
    <w:basedOn w:val="1"/>
    <w:qFormat/>
    <w:uiPriority w:val="0"/>
    <w:pPr>
      <w:spacing w:after="120"/>
      <w:ind w:left="420" w:leftChars="200"/>
      <w:jc w:val="both"/>
      <w:textAlignment w:val="baseline"/>
    </w:pPr>
    <w:rPr>
      <w:rFonts w:ascii="Times New Roman" w:hAnsi="Times New Roman"/>
      <w:kern w:val="2"/>
      <w:sz w:val="21"/>
      <w:szCs w:val="24"/>
      <w:lang w:val="en-US" w:eastAsia="zh-CN" w:bidi="ar-SA"/>
    </w:rPr>
  </w:style>
  <w:style w:type="paragraph" w:styleId="26">
    <w:name w:val="List Paragraph"/>
    <w:basedOn w:val="1"/>
    <w:qFormat/>
    <w:uiPriority w:val="1"/>
    <w:pPr>
      <w:ind w:left="1326" w:hanging="560"/>
    </w:pPr>
    <w:rPr>
      <w:rFonts w:ascii="仿宋" w:hAnsi="仿宋" w:eastAsia="仿宋" w:cs="仿宋"/>
      <w:lang w:val="en-US" w:eastAsia="zh-CN" w:bidi="ar-SA"/>
    </w:rPr>
  </w:style>
  <w:style w:type="paragraph" w:customStyle="1" w:styleId="27">
    <w:name w:val="Table Paragraph"/>
    <w:basedOn w:val="1"/>
    <w:qFormat/>
    <w:uiPriority w:val="1"/>
    <w:rPr>
      <w:rFonts w:ascii="宋体" w:hAnsi="宋体" w:eastAsia="宋体" w:cs="宋体"/>
      <w:lang w:val="en-US" w:eastAsia="zh-CN" w:bidi="ar-SA"/>
    </w:rPr>
  </w:style>
  <w:style w:type="paragraph" w:customStyle="1" w:styleId="28">
    <w:name w:val="图片标题"/>
    <w:next w:val="1"/>
    <w:qFormat/>
    <w:uiPriority w:val="0"/>
    <w:pPr>
      <w:widowControl w:val="0"/>
      <w:overflowPunct w:val="0"/>
      <w:topLinePunct/>
      <w:spacing w:line="560" w:lineRule="exact"/>
      <w:jc w:val="center"/>
    </w:pPr>
    <w:rPr>
      <w:rFonts w:ascii="Times New Roman" w:hAnsi="Times New Roman" w:eastAsia="仿宋_GB2312" w:cs="仿宋_GB2312"/>
      <w:spacing w:val="-6"/>
      <w:kern w:val="0"/>
      <w:sz w:val="32"/>
      <w:szCs w:val="32"/>
      <w:lang w:bidi="ar-SA"/>
    </w:rPr>
  </w:style>
  <w:style w:type="paragraph" w:customStyle="1" w:styleId="29">
    <w:name w:val="表格标题"/>
    <w:next w:val="1"/>
    <w:qFormat/>
    <w:uiPriority w:val="0"/>
    <w:pPr>
      <w:overflowPunct w:val="0"/>
      <w:topLinePunct/>
      <w:spacing w:line="560" w:lineRule="exact"/>
      <w:jc w:val="center"/>
      <w:outlineLvl w:val="9"/>
    </w:pPr>
    <w:rPr>
      <w:rFonts w:ascii="Times New Roman" w:hAnsi="Times New Roman" w:eastAsia="仿宋_GB2312" w:cs="仿宋_GB2312"/>
      <w:spacing w:val="-6"/>
      <w:kern w:val="0"/>
      <w:sz w:val="32"/>
      <w:szCs w:val="32"/>
    </w:rPr>
  </w:style>
  <w:style w:type="character" w:customStyle="1" w:styleId="30">
    <w:name w:val="标题 3 Char"/>
    <w:link w:val="4"/>
    <w:qFormat/>
    <w:uiPriority w:val="0"/>
    <w:rPr>
      <w:rFonts w:ascii="Times New Roman" w:hAnsi="Times New Roman" w:eastAsia="仿宋_GB2312" w:cs="仿宋_GB2312"/>
      <w:sz w:val="32"/>
      <w:szCs w:val="32"/>
    </w:rPr>
  </w:style>
  <w:style w:type="character" w:customStyle="1" w:styleId="31">
    <w:name w:val="标题 Char"/>
    <w:link w:val="19"/>
    <w:qFormat/>
    <w:uiPriority w:val="0"/>
    <w:rPr>
      <w:rFonts w:ascii="方正小标宋简体" w:hAnsi="方正小标宋简体" w:eastAsia="方正小标宋简体" w:cs="方正小标宋简体"/>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10228</Words>
  <Characters>10577</Characters>
  <Lines>0</Lines>
  <Paragraphs>0</Paragraphs>
  <TotalTime>12</TotalTime>
  <ScaleCrop>false</ScaleCrop>
  <LinksUpToDate>false</LinksUpToDate>
  <CharactersWithSpaces>10846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2025-12-22T00:11:00Z</dcterms:created>
  <dc:creator>Administrator</dc:creator>
  <cp:lastModifiedBy>黄坚</cp:lastModifiedBy>
  <cp:lastPrinted>2025-12-29T01:49:00Z</cp:lastPrinted>
  <dcterms:modified xsi:type="dcterms:W3CDTF">2026-01-04T07:46:23Z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eyJoZGlkIjoiNmFiMDcxNzg5YjEwZDBlN2I3NGNkOThhN2IyMGYxZDYiLCJ1c2VySWQiOiIzNTMxODAxMDYifQ==</vt:lpwstr>
  </property>
  <property fmtid="{D5CDD505-2E9C-101B-9397-08002B2CF9AE}" pid="4" name="ICV">
    <vt:lpwstr>3381E0A3224B4DCAAFAA1CD76E5BBA9E_13</vt:lpwstr>
  </property>
</Properties>
</file>